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1520A130">
      <w:pPr>
        <w:spacing w:after="60"/>
        <w:jc w:val="center"/>
        <w:rPr>
          <w:rFonts w:ascii="黑体" w:hAnsi="方正公文小标宋" w:eastAsia="黑体" w:cs="方正公文小标宋"/>
          <w:color w:val="000000" w:themeColor="text1"/>
          <w:sz w:val="38"/>
          <w:szCs w:val="38"/>
          <w14:textFill>
            <w14:solidFill>
              <w14:schemeClr w14:val="tx1"/>
            </w14:solidFill>
          </w14:textFill>
        </w:rPr>
      </w:pPr>
      <w:bookmarkStart w:id="0" w:name="_GoBack"/>
      <w:r>
        <w:rPr>
          <w:rFonts w:hint="eastAsia" w:ascii="黑体" w:hAnsi="方正公文小标宋" w:eastAsia="黑体" w:cs="方正公文小标宋"/>
          <w:sz w:val="40"/>
          <w:szCs w:val="44"/>
          <w:lang w:eastAsia="zh-CN"/>
        </w:rPr>
        <w:t>2026笠泽初中校服采购</w:t>
      </w:r>
      <w:r>
        <w:rPr>
          <w:rFonts w:hint="eastAsia" w:ascii="黑体" w:hAnsi="方正公文小标宋" w:eastAsia="黑体" w:cs="方正公文小标宋"/>
          <w:color w:val="000000" w:themeColor="text1"/>
          <w:sz w:val="38"/>
          <w:szCs w:val="38"/>
          <w14:textFill>
            <w14:solidFill>
              <w14:schemeClr w14:val="tx1"/>
            </w14:solidFill>
          </w14:textFill>
        </w:rPr>
        <w:t>方案</w:t>
      </w:r>
    </w:p>
    <w:bookmarkEnd w:id="0"/>
    <w:p w14:paraId="5187CE7D">
      <w:pPr>
        <w:spacing w:before="200" w:after="100"/>
        <w:jc w:val="left"/>
        <w:outlineLvl w:val="0"/>
        <w:rPr>
          <w:rFonts w:hint="eastAsia" w:ascii="黑体" w:hAnsi="黑体" w:eastAsia="黑体" w:cs="黑体"/>
          <w:color w:val="000000" w:themeColor="text1"/>
          <w:sz w:val="32"/>
          <w:lang w:eastAsia="zh-CN"/>
          <w14:textFill>
            <w14:solidFill>
              <w14:schemeClr w14:val="tx1"/>
            </w14:solidFill>
          </w14:textFill>
        </w:rPr>
      </w:pPr>
      <w:r>
        <w:rPr>
          <w:rFonts w:hint="eastAsia" w:ascii="黑体" w:hAnsi="黑体" w:eastAsia="黑体" w:cs="黑体"/>
          <w:color w:val="000000" w:themeColor="text1"/>
          <w:sz w:val="32"/>
          <w14:textFill>
            <w14:solidFill>
              <w14:schemeClr w14:val="tx1"/>
            </w14:solidFill>
          </w14:textFill>
        </w:rPr>
        <w:t>一、采购</w:t>
      </w:r>
      <w:r>
        <w:rPr>
          <w:rFonts w:hint="eastAsia" w:ascii="黑体" w:hAnsi="黑体" w:eastAsia="黑体" w:cs="黑体"/>
          <w:color w:val="000000" w:themeColor="text1"/>
          <w:sz w:val="32"/>
          <w:lang w:val="en-US" w:eastAsia="zh-CN"/>
          <w14:textFill>
            <w14:solidFill>
              <w14:schemeClr w14:val="tx1"/>
            </w14:solidFill>
          </w14:textFill>
        </w:rPr>
        <w:t>背景</w:t>
      </w:r>
    </w:p>
    <w:p w14:paraId="0B813863">
      <w:pPr>
        <w:spacing w:line="360" w:lineRule="auto"/>
        <w:ind w:firstLine="482"/>
        <w:jc w:val="left"/>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苏州市吴江区笠泽实验初级中学初一年级学生967人。</w:t>
      </w:r>
    </w:p>
    <w:p w14:paraId="131913B1">
      <w:pPr>
        <w:spacing w:line="360" w:lineRule="auto"/>
        <w:ind w:firstLine="482"/>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随着新学年的到来，为满足新生需求，</w:t>
      </w:r>
      <w:r>
        <w:rPr>
          <w:rFonts w:hint="eastAsia" w:ascii="宋体" w:hAnsi="宋体" w:eastAsia="宋体" w:cs="宋体"/>
          <w:color w:val="000000" w:themeColor="text1"/>
          <w:sz w:val="21"/>
          <w:szCs w:val="21"/>
          <w:highlight w:val="none"/>
          <w14:textFill>
            <w14:solidFill>
              <w14:schemeClr w14:val="tx1"/>
            </w14:solidFill>
          </w14:textFill>
        </w:rPr>
        <w:t>提升学生归属感与校园文化认同，展现学生良好的精神风貌</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构</w:t>
      </w:r>
      <w:r>
        <w:rPr>
          <w:rFonts w:hint="eastAsia" w:ascii="宋体" w:hAnsi="宋体" w:eastAsia="宋体" w:cs="宋体"/>
          <w:color w:val="000000" w:themeColor="text1"/>
          <w:sz w:val="21"/>
          <w:szCs w:val="21"/>
          <w:highlight w:val="none"/>
          <w14:textFill>
            <w14:solidFill>
              <w14:schemeClr w14:val="tx1"/>
            </w14:solidFill>
          </w14:textFill>
        </w:rPr>
        <w:t>建和谐、 统一的校园文化，同时保障学生校服的品质与安全，减轻家长经济负担，特制定本方案。本次采购工作将遵循“学生自愿、家长参与、学校组织、公开透明”的原则，确保流程规范、结果满意。</w:t>
      </w:r>
    </w:p>
    <w:p w14:paraId="298074E7">
      <w:pPr>
        <w:spacing w:before="200" w:after="100"/>
        <w:jc w:val="left"/>
        <w:outlineLvl w:val="0"/>
        <w:rPr>
          <w:rFonts w:hint="eastAsia" w:ascii="黑体" w:hAnsi="宋体" w:eastAsia="黑体" w:cs="宋体"/>
          <w:color w:val="000000" w:themeColor="text1"/>
          <w:sz w:val="32"/>
          <w:highlight w:val="none"/>
          <w14:textFill>
            <w14:solidFill>
              <w14:schemeClr w14:val="tx1"/>
            </w14:solidFill>
          </w14:textFill>
        </w:rPr>
      </w:pPr>
      <w:r>
        <w:rPr>
          <w:rFonts w:hint="eastAsia" w:ascii="黑体" w:hAnsi="宋体" w:eastAsia="黑体" w:cs="宋体"/>
          <w:color w:val="000000" w:themeColor="text1"/>
          <w:sz w:val="32"/>
          <w:highlight w:val="none"/>
          <w:lang w:val="en-US" w:eastAsia="zh-CN"/>
          <w14:textFill>
            <w14:solidFill>
              <w14:schemeClr w14:val="tx1"/>
            </w14:solidFill>
          </w14:textFill>
        </w:rPr>
        <w:t>二</w:t>
      </w:r>
      <w:r>
        <w:rPr>
          <w:rFonts w:hint="eastAsia" w:ascii="黑体" w:hAnsi="宋体" w:eastAsia="黑体" w:cs="宋体"/>
          <w:color w:val="000000" w:themeColor="text1"/>
          <w:sz w:val="32"/>
          <w:highlight w:val="none"/>
          <w14:textFill>
            <w14:solidFill>
              <w14:schemeClr w14:val="tx1"/>
            </w14:solidFill>
          </w14:textFill>
        </w:rPr>
        <w:t>、征求家长意向情况</w:t>
      </w:r>
    </w:p>
    <w:p w14:paraId="085ABB3E">
      <w:pPr>
        <w:bidi w:val="0"/>
        <w:spacing w:line="360" w:lineRule="auto"/>
        <w:ind w:firstLine="482" w:firstLineChars="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2026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lang w:val="en-US" w:eastAsia="zh-CN"/>
          <w14:textFill>
            <w14:solidFill>
              <w14:schemeClr w14:val="tx1"/>
            </w14:solidFill>
          </w14:textFill>
        </w:rPr>
        <w:t>25日至7月27日通过在线收集表下发</w:t>
      </w:r>
      <w:r>
        <w:rPr>
          <w:rFonts w:hint="eastAsia" w:ascii="宋体" w:hAnsi="宋体" w:eastAsia="宋体" w:cs="宋体"/>
          <w:color w:val="000000" w:themeColor="text1"/>
          <w:sz w:val="21"/>
          <w:szCs w:val="21"/>
          <w:highlight w:val="none"/>
          <w14:textFill>
            <w14:solidFill>
              <w14:schemeClr w14:val="tx1"/>
            </w14:solidFill>
          </w14:textFill>
        </w:rPr>
        <w:t>购买校服征求意</w:t>
      </w:r>
      <w:r>
        <w:rPr>
          <w:rFonts w:hint="eastAsia" w:ascii="宋体" w:hAnsi="宋体" w:eastAsia="宋体" w:cs="宋体"/>
          <w:color w:val="000000" w:themeColor="text1"/>
          <w:sz w:val="21"/>
          <w:szCs w:val="21"/>
          <w:highlight w:val="none"/>
          <w:lang w:val="en-US" w:eastAsia="zh-CN"/>
          <w14:textFill>
            <w14:solidFill>
              <w14:schemeClr w14:val="tx1"/>
            </w14:solidFill>
          </w14:textFill>
        </w:rPr>
        <w:t>向</w:t>
      </w:r>
      <w:r>
        <w:rPr>
          <w:rFonts w:hint="eastAsia" w:ascii="宋体" w:hAnsi="宋体" w:eastAsia="宋体" w:cs="宋体"/>
          <w:color w:val="000000" w:themeColor="text1"/>
          <w:sz w:val="21"/>
          <w:szCs w:val="21"/>
          <w:highlight w:val="none"/>
          <w14:textFill>
            <w14:solidFill>
              <w14:schemeClr w14:val="tx1"/>
            </w14:solidFill>
          </w14:textFill>
        </w:rPr>
        <w:t>表</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经回收统计</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初</w:t>
      </w:r>
      <w:r>
        <w:rPr>
          <w:rFonts w:hint="eastAsia" w:ascii="宋体" w:hAnsi="宋体" w:eastAsia="宋体" w:cs="宋体"/>
          <w:color w:val="000000" w:themeColor="text1"/>
          <w:sz w:val="21"/>
          <w:szCs w:val="21"/>
          <w:highlight w:val="none"/>
          <w14:textFill>
            <w14:solidFill>
              <w14:schemeClr w14:val="tx1"/>
            </w14:solidFill>
          </w14:textFill>
        </w:rPr>
        <w:t>一年级学生</w:t>
      </w:r>
      <w:r>
        <w:rPr>
          <w:rFonts w:hint="eastAsia" w:ascii="宋体" w:hAnsi="宋体" w:eastAsia="宋体" w:cs="宋体"/>
          <w:color w:val="000000" w:themeColor="text1"/>
          <w:sz w:val="21"/>
          <w:szCs w:val="21"/>
          <w:highlight w:val="none"/>
          <w:lang w:val="en-US" w:eastAsia="zh-CN"/>
          <w14:textFill>
            <w14:solidFill>
              <w14:schemeClr w14:val="tx1"/>
            </w14:solidFill>
          </w14:textFill>
        </w:rPr>
        <w:t>共967人</w:t>
      </w:r>
      <w:r>
        <w:rPr>
          <w:rFonts w:hint="eastAsia" w:ascii="宋体" w:hAnsi="宋体" w:eastAsia="宋体" w:cs="宋体"/>
          <w:color w:val="000000" w:themeColor="text1"/>
          <w:sz w:val="21"/>
          <w:szCs w:val="21"/>
          <w:highlight w:val="none"/>
          <w14:textFill>
            <w14:solidFill>
              <w14:schemeClr w14:val="tx1"/>
            </w14:solidFill>
          </w14:textFill>
        </w:rPr>
        <w:t>，发放意</w:t>
      </w:r>
      <w:r>
        <w:rPr>
          <w:rFonts w:hint="eastAsia" w:ascii="宋体" w:hAnsi="宋体" w:eastAsia="宋体" w:cs="宋体"/>
          <w:color w:val="000000" w:themeColor="text1"/>
          <w:sz w:val="21"/>
          <w:szCs w:val="21"/>
          <w:highlight w:val="none"/>
          <w:lang w:val="en-US" w:eastAsia="zh-CN"/>
          <w14:textFill>
            <w14:solidFill>
              <w14:schemeClr w14:val="tx1"/>
            </w14:solidFill>
          </w14:textFill>
        </w:rPr>
        <w:t>向</w:t>
      </w:r>
      <w:r>
        <w:rPr>
          <w:rFonts w:hint="eastAsia" w:ascii="宋体" w:hAnsi="宋体" w:eastAsia="宋体" w:cs="宋体"/>
          <w:color w:val="000000" w:themeColor="text1"/>
          <w:sz w:val="21"/>
          <w:szCs w:val="21"/>
          <w:highlight w:val="none"/>
          <w14:textFill>
            <w14:solidFill>
              <w14:schemeClr w14:val="tx1"/>
            </w14:solidFill>
          </w14:textFill>
        </w:rPr>
        <w:t>表</w:t>
      </w:r>
      <w:r>
        <w:rPr>
          <w:rFonts w:hint="eastAsia" w:ascii="宋体" w:hAnsi="宋体" w:eastAsia="宋体" w:cs="宋体"/>
          <w:color w:val="000000" w:themeColor="text1"/>
          <w:sz w:val="21"/>
          <w:szCs w:val="21"/>
          <w:highlight w:val="none"/>
          <w:lang w:val="en-US" w:eastAsia="zh-CN"/>
          <w14:textFill>
            <w14:solidFill>
              <w14:schemeClr w14:val="tx1"/>
            </w14:solidFill>
          </w14:textFill>
        </w:rPr>
        <w:t>967</w:t>
      </w:r>
      <w:r>
        <w:rPr>
          <w:rFonts w:hint="eastAsia" w:ascii="宋体" w:hAnsi="宋体" w:eastAsia="宋体" w:cs="宋体"/>
          <w:color w:val="000000" w:themeColor="text1"/>
          <w:sz w:val="21"/>
          <w:szCs w:val="21"/>
          <w:highlight w:val="none"/>
          <w14:textFill>
            <w14:solidFill>
              <w14:schemeClr w14:val="tx1"/>
            </w14:solidFill>
          </w14:textFill>
        </w:rPr>
        <w:t>份，收回</w:t>
      </w:r>
      <w:r>
        <w:rPr>
          <w:rFonts w:hint="eastAsia" w:ascii="宋体" w:hAnsi="宋体" w:eastAsia="宋体" w:cs="宋体"/>
          <w:color w:val="000000" w:themeColor="text1"/>
          <w:sz w:val="21"/>
          <w:szCs w:val="21"/>
          <w:highlight w:val="none"/>
          <w:lang w:val="en-US" w:eastAsia="zh-CN"/>
          <w14:textFill>
            <w14:solidFill>
              <w14:schemeClr w14:val="tx1"/>
            </w14:solidFill>
          </w14:textFill>
        </w:rPr>
        <w:t>865</w:t>
      </w:r>
      <w:r>
        <w:rPr>
          <w:rFonts w:hint="eastAsia" w:ascii="宋体" w:hAnsi="宋体" w:eastAsia="宋体" w:cs="宋体"/>
          <w:color w:val="000000" w:themeColor="text1"/>
          <w:sz w:val="21"/>
          <w:szCs w:val="21"/>
          <w:highlight w:val="none"/>
          <w14:textFill>
            <w14:solidFill>
              <w14:schemeClr w14:val="tx1"/>
            </w14:solidFill>
          </w14:textFill>
        </w:rPr>
        <w:t>份，同意购买</w:t>
      </w:r>
      <w:r>
        <w:rPr>
          <w:rFonts w:hint="eastAsia" w:ascii="宋体" w:hAnsi="宋体" w:eastAsia="宋体" w:cs="宋体"/>
          <w:color w:val="000000" w:themeColor="text1"/>
          <w:sz w:val="21"/>
          <w:szCs w:val="21"/>
          <w:highlight w:val="none"/>
          <w:lang w:val="en-US" w:eastAsia="zh-CN"/>
          <w14:textFill>
            <w14:solidFill>
              <w14:schemeClr w14:val="tx1"/>
            </w14:solidFill>
          </w14:textFill>
        </w:rPr>
        <w:t>812</w:t>
      </w:r>
      <w:r>
        <w:rPr>
          <w:rFonts w:hint="eastAsia" w:ascii="宋体" w:hAnsi="宋体" w:eastAsia="宋体" w:cs="宋体"/>
          <w:color w:val="000000" w:themeColor="text1"/>
          <w:sz w:val="21"/>
          <w:szCs w:val="21"/>
          <w:highlight w:val="none"/>
          <w14:textFill>
            <w14:solidFill>
              <w14:schemeClr w14:val="tx1"/>
            </w14:solidFill>
          </w14:textFill>
        </w:rPr>
        <w:t>人，同意率</w:t>
      </w:r>
      <w:r>
        <w:rPr>
          <w:rFonts w:hint="eastAsia" w:ascii="宋体" w:hAnsi="宋体" w:eastAsia="宋体" w:cs="宋体"/>
          <w:color w:val="000000" w:themeColor="text1"/>
          <w:sz w:val="21"/>
          <w:szCs w:val="21"/>
          <w:highlight w:val="none"/>
          <w:lang w:val="en-US" w:eastAsia="zh-CN"/>
          <w14:textFill>
            <w14:solidFill>
              <w14:schemeClr w14:val="tx1"/>
            </w14:solidFill>
          </w14:textFill>
        </w:rPr>
        <w:t>83.97</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超三分之二；</w:t>
      </w:r>
      <w:r>
        <w:rPr>
          <w:rFonts w:hint="eastAsia" w:ascii="宋体" w:hAnsi="宋体" w:eastAsia="宋体" w:cs="宋体"/>
          <w:color w:val="000000" w:themeColor="text1"/>
          <w:sz w:val="21"/>
          <w:szCs w:val="21"/>
          <w:highlight w:val="none"/>
          <w14:textFill>
            <w14:solidFill>
              <w14:schemeClr w14:val="tx1"/>
            </w14:solidFill>
          </w14:textFill>
        </w:rPr>
        <w:t>所以对</w:t>
      </w:r>
      <w:r>
        <w:rPr>
          <w:rFonts w:hint="eastAsia" w:ascii="宋体" w:hAnsi="宋体" w:eastAsia="宋体" w:cs="宋体"/>
          <w:color w:val="000000" w:themeColor="text1"/>
          <w:sz w:val="21"/>
          <w:szCs w:val="21"/>
          <w:highlight w:val="none"/>
          <w:lang w:val="en-US" w:eastAsia="zh-CN"/>
          <w14:textFill>
            <w14:solidFill>
              <w14:schemeClr w14:val="tx1"/>
            </w14:solidFill>
          </w14:textFill>
        </w:rPr>
        <w:t>初一</w:t>
      </w:r>
      <w:r>
        <w:rPr>
          <w:rFonts w:hint="eastAsia" w:ascii="宋体" w:hAnsi="宋体" w:eastAsia="宋体" w:cs="宋体"/>
          <w:color w:val="000000" w:themeColor="text1"/>
          <w:sz w:val="21"/>
          <w:szCs w:val="21"/>
          <w:highlight w:val="none"/>
          <w14:textFill>
            <w14:solidFill>
              <w14:schemeClr w14:val="tx1"/>
            </w14:solidFill>
          </w14:textFill>
        </w:rPr>
        <w:t>年级进行校服采购。本届学生家委会召开专门会议并出具了授权委托书，委托学校负责组织实施校服选购相关工作。</w:t>
      </w:r>
    </w:p>
    <w:p w14:paraId="37CEF569">
      <w:pPr>
        <w:spacing w:before="200" w:after="100"/>
        <w:jc w:val="left"/>
        <w:outlineLvl w:val="0"/>
        <w:rPr>
          <w:rFonts w:hint="default" w:ascii="黑体" w:hAnsi="宋体" w:eastAsia="黑体" w:cs="宋体"/>
          <w:color w:val="000000" w:themeColor="text1"/>
          <w:sz w:val="32"/>
          <w:lang w:val="en-US" w:eastAsia="zh-CN"/>
          <w14:textFill>
            <w14:solidFill>
              <w14:schemeClr w14:val="tx1"/>
            </w14:solidFill>
          </w14:textFill>
        </w:rPr>
      </w:pPr>
      <w:r>
        <w:rPr>
          <w:rFonts w:hint="eastAsia" w:ascii="黑体" w:hAnsi="宋体" w:eastAsia="黑体" w:cs="宋体"/>
          <w:color w:val="000000" w:themeColor="text1"/>
          <w:sz w:val="32"/>
          <w:lang w:val="en-US" w:eastAsia="zh-CN"/>
          <w14:textFill>
            <w14:solidFill>
              <w14:schemeClr w14:val="tx1"/>
            </w14:solidFill>
          </w14:textFill>
        </w:rPr>
        <w:t>三</w:t>
      </w:r>
      <w:r>
        <w:rPr>
          <w:rFonts w:hint="eastAsia" w:ascii="黑体" w:hAnsi="宋体" w:eastAsia="黑体" w:cs="宋体"/>
          <w:color w:val="000000" w:themeColor="text1"/>
          <w:sz w:val="32"/>
          <w14:textFill>
            <w14:solidFill>
              <w14:schemeClr w14:val="tx1"/>
            </w14:solidFill>
          </w14:textFill>
        </w:rPr>
        <w:t>、成立校服</w:t>
      </w:r>
      <w:r>
        <w:rPr>
          <w:rFonts w:hint="eastAsia" w:ascii="黑体" w:hAnsi="宋体" w:eastAsia="黑体" w:cs="宋体"/>
          <w:color w:val="000000" w:themeColor="text1"/>
          <w:sz w:val="32"/>
          <w:lang w:val="en-US" w:eastAsia="zh-CN"/>
          <w14:textFill>
            <w14:solidFill>
              <w14:schemeClr w14:val="tx1"/>
            </w14:solidFill>
          </w14:textFill>
        </w:rPr>
        <w:t>选用工作小组</w:t>
      </w:r>
    </w:p>
    <w:p w14:paraId="5E81606E">
      <w:pPr>
        <w:spacing w:line="360" w:lineRule="auto"/>
        <w:ind w:firstLine="482"/>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为确保采购工作的顺利进行，成立由多方代表组成的校服采购工作小组，参与校服选用、采购、监督等工作。成员组成详见附表。</w:t>
      </w:r>
    </w:p>
    <w:tbl>
      <w:tblPr>
        <w:tblStyle w:val="8"/>
        <w:tblW w:w="50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7"/>
        <w:gridCol w:w="7094"/>
      </w:tblGrid>
      <w:tr w14:paraId="1962A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1" w:type="pct"/>
            <w:vAlign w:val="center"/>
          </w:tcPr>
          <w:p w14:paraId="7166B7C6">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领导小组</w:t>
            </w:r>
          </w:p>
        </w:tc>
        <w:tc>
          <w:tcPr>
            <w:tcW w:w="4118" w:type="pct"/>
            <w:vAlign w:val="center"/>
          </w:tcPr>
          <w:p w14:paraId="39AA47D7">
            <w:pPr>
              <w:widowControl/>
              <w:jc w:val="left"/>
              <w:rPr>
                <w:rFonts w:hint="default" w:ascii="宋体" w:hAnsi="宋体" w:cs="宋体" w:eastAsia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梅</w:t>
            </w:r>
            <w:r>
              <w:rPr>
                <w:rFonts w:hint="eastAsia"/>
                <w:highlight w:val="none"/>
                <w:lang w:val="en-US" w:eastAsia="zh-CN"/>
              </w:rPr>
              <w:t>震宇、钱花美</w:t>
            </w:r>
          </w:p>
        </w:tc>
      </w:tr>
      <w:tr w14:paraId="2D3D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1" w:type="pct"/>
            <w:vAlign w:val="center"/>
          </w:tcPr>
          <w:p w14:paraId="3B9FC7DD">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校服选用工作小组</w:t>
            </w:r>
          </w:p>
        </w:tc>
        <w:tc>
          <w:tcPr>
            <w:tcW w:w="4118" w:type="pct"/>
            <w:vAlign w:val="center"/>
          </w:tcPr>
          <w:p w14:paraId="5810526C">
            <w:pPr>
              <w:widowControl/>
              <w:spacing w:line="360" w:lineRule="auto"/>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学校代表：</w:t>
            </w:r>
            <w:r>
              <w:rPr>
                <w:rFonts w:hint="eastAsia" w:ascii="宋体" w:hAnsi="宋体" w:eastAsia="宋体" w:cs="宋体"/>
                <w:sz w:val="21"/>
                <w:szCs w:val="21"/>
                <w:highlight w:val="none"/>
                <w:lang w:val="en-US" w:eastAsia="zh-CN"/>
              </w:rPr>
              <w:t xml:space="preserve">李正华 </w:t>
            </w:r>
          </w:p>
          <w:p w14:paraId="44629E63">
            <w:pPr>
              <w:widowControl/>
              <w:spacing w:line="360" w:lineRule="auto"/>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专家：</w:t>
            </w:r>
            <w:r>
              <w:rPr>
                <w:rFonts w:hint="eastAsia" w:ascii="宋体" w:hAnsi="宋体" w:eastAsia="宋体" w:cs="宋体"/>
                <w:sz w:val="21"/>
                <w:szCs w:val="21"/>
                <w:highlight w:val="none"/>
                <w:lang w:val="en-US" w:eastAsia="zh-CN"/>
              </w:rPr>
              <w:t>孔祥康</w:t>
            </w:r>
          </w:p>
          <w:p w14:paraId="409B7C72">
            <w:pPr>
              <w:widowControl/>
              <w:spacing w:line="360" w:lineRule="auto"/>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家长代表：</w:t>
            </w:r>
            <w:r>
              <w:rPr>
                <w:rFonts w:hint="eastAsia" w:ascii="宋体" w:hAnsi="宋体" w:eastAsia="宋体" w:cs="宋体"/>
                <w:sz w:val="21"/>
                <w:szCs w:val="21"/>
                <w:highlight w:val="none"/>
                <w:lang w:val="en-US" w:eastAsia="zh-CN"/>
              </w:rPr>
              <w:t xml:space="preserve"> 邰颂嘉、陈宗锦、马睿、张睿琪、程向阳、汪俪珈</w:t>
            </w:r>
          </w:p>
          <w:p w14:paraId="0AFD04D3">
            <w:pPr>
              <w:widowControl/>
              <w:spacing w:line="360" w:lineRule="auto"/>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学生代表： </w:t>
            </w:r>
            <w:r>
              <w:rPr>
                <w:rFonts w:hint="eastAsia" w:ascii="宋体" w:hAnsi="宋体" w:eastAsia="宋体" w:cs="宋体"/>
                <w:sz w:val="21"/>
                <w:szCs w:val="21"/>
                <w:highlight w:val="none"/>
                <w:lang w:val="en-US" w:eastAsia="zh-CN"/>
              </w:rPr>
              <w:t>沈心、朱晓蕾、景锦林</w:t>
            </w:r>
          </w:p>
          <w:p w14:paraId="313FD350">
            <w:pPr>
              <w:widowControl/>
              <w:spacing w:line="360" w:lineRule="auto"/>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注：校服选用组织共11人，其中家长和学生代表9人，占比81.82 %</w:t>
            </w:r>
          </w:p>
        </w:tc>
      </w:tr>
      <w:tr w14:paraId="631A8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1" w:type="pct"/>
            <w:vAlign w:val="center"/>
          </w:tcPr>
          <w:p w14:paraId="1251DA7A">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监督</w:t>
            </w:r>
            <w:r>
              <w:rPr>
                <w:rFonts w:hint="eastAsia" w:ascii="宋体" w:hAnsi="宋体" w:eastAsia="宋体" w:cs="宋体"/>
                <w:color w:val="000000" w:themeColor="text1"/>
                <w:sz w:val="21"/>
                <w:szCs w:val="21"/>
                <w:highlight w:val="none"/>
                <w14:textFill>
                  <w14:solidFill>
                    <w14:schemeClr w14:val="tx1"/>
                  </w14:solidFill>
                </w14:textFill>
              </w:rPr>
              <w:t>小组</w:t>
            </w:r>
          </w:p>
        </w:tc>
        <w:tc>
          <w:tcPr>
            <w:tcW w:w="4118" w:type="pct"/>
            <w:vAlign w:val="center"/>
          </w:tcPr>
          <w:p w14:paraId="0CD523E6">
            <w:pPr>
              <w:widowControl/>
              <w:spacing w:line="360" w:lineRule="auto"/>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学校代表： 沈梦春</w:t>
            </w:r>
          </w:p>
          <w:p w14:paraId="0C0E31F7">
            <w:pPr>
              <w:widowControl/>
              <w:spacing w:line="360" w:lineRule="auto"/>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家长代表： 陶静萱</w:t>
            </w:r>
          </w:p>
          <w:p w14:paraId="09E2FED5">
            <w:pPr>
              <w:widowControl/>
              <w:spacing w:line="360" w:lineRule="auto"/>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学校财务： 王佳倩</w:t>
            </w:r>
          </w:p>
        </w:tc>
      </w:tr>
      <w:tr w14:paraId="4FFF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881" w:type="pct"/>
            <w:vAlign w:val="center"/>
          </w:tcPr>
          <w:p w14:paraId="554A572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验收工作组</w:t>
            </w:r>
          </w:p>
        </w:tc>
        <w:tc>
          <w:tcPr>
            <w:tcW w:w="4118" w:type="pct"/>
            <w:vAlign w:val="center"/>
          </w:tcPr>
          <w:p w14:paraId="20E794A5">
            <w:pPr>
              <w:widowControl/>
              <w:spacing w:line="360" w:lineRule="auto"/>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教师代表（2人</w:t>
            </w:r>
            <w:r>
              <w:rPr>
                <w:rFonts w:hint="eastAsia" w:ascii="宋体" w:hAnsi="宋体" w:eastAsia="宋体" w:cs="宋体"/>
                <w:sz w:val="21"/>
                <w:szCs w:val="21"/>
                <w:highlight w:val="none"/>
                <w:lang w:val="en-US" w:eastAsia="zh-CN"/>
              </w:rPr>
              <w:t>）： 李正华、孔祥康</w:t>
            </w:r>
          </w:p>
          <w:p w14:paraId="1368D063">
            <w:pPr>
              <w:widowControl/>
              <w:spacing w:line="360" w:lineRule="auto"/>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家长代表（3人）： 邰颂嘉、马睿、程向阳</w:t>
            </w:r>
          </w:p>
        </w:tc>
      </w:tr>
    </w:tbl>
    <w:p w14:paraId="50E67C6A">
      <w:pPr>
        <w:spacing w:before="200" w:after="100"/>
        <w:jc w:val="left"/>
        <w:outlineLvl w:val="0"/>
        <w:rPr>
          <w:rFonts w:hint="eastAsia" w:ascii="楷体" w:hAnsi="宋体" w:eastAsia="楷体" w:cs="宋体"/>
          <w:color w:val="auto"/>
          <w:sz w:val="32"/>
        </w:rPr>
      </w:pPr>
      <w:r>
        <w:rPr>
          <w:rFonts w:hint="eastAsia" w:ascii="黑体" w:hAnsi="宋体" w:eastAsia="黑体" w:cs="宋体"/>
          <w:color w:val="auto"/>
          <w:sz w:val="32"/>
          <w:lang w:val="en-US" w:eastAsia="zh-CN"/>
        </w:rPr>
        <w:t>四</w:t>
      </w:r>
      <w:r>
        <w:rPr>
          <w:rFonts w:hint="eastAsia" w:ascii="黑体" w:hAnsi="宋体" w:eastAsia="黑体" w:cs="宋体"/>
          <w:color w:val="auto"/>
          <w:sz w:val="32"/>
        </w:rPr>
        <w:t>、采购需求基本内容</w:t>
      </w:r>
    </w:p>
    <w:p w14:paraId="731714E1">
      <w:pPr>
        <w:spacing w:before="200" w:after="100"/>
        <w:jc w:val="left"/>
        <w:outlineLvl w:val="1"/>
        <w:rPr>
          <w:rFonts w:ascii="楷体" w:hAnsi="宋体" w:eastAsia="楷体" w:cs="宋体"/>
          <w:color w:val="auto"/>
          <w:sz w:val="32"/>
        </w:rPr>
      </w:pPr>
      <w:r>
        <w:rPr>
          <w:rFonts w:hint="eastAsia" w:ascii="楷体" w:hAnsi="宋体" w:eastAsia="楷体" w:cs="宋体"/>
          <w:color w:val="auto"/>
          <w:sz w:val="32"/>
        </w:rPr>
        <w:t>（一）校服种类与数量</w:t>
      </w:r>
    </w:p>
    <w:p w14:paraId="6EB490E1">
      <w:pPr>
        <w:bidi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1.校服种类：涵盖夏季、春秋季、冬季全季节着装，具体包括夏季短袖T恤、夏季男生短裤（女生短裙）、春秋运动上衣、春秋运动裤、冬装上衣</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冬装裤</w:t>
      </w:r>
      <w:r>
        <w:rPr>
          <w:rFonts w:hint="eastAsia" w:ascii="宋体" w:hAnsi="宋体" w:eastAsia="宋体" w:cs="宋体"/>
          <w:sz w:val="21"/>
          <w:szCs w:val="21"/>
          <w:highlight w:val="none"/>
        </w:rPr>
        <w:t>。</w:t>
      </w:r>
    </w:p>
    <w:p w14:paraId="29282AD2">
      <w:pPr>
        <w:bidi w:val="0"/>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2.数量要求：每位学生配备夏装1套（含夏季短袖T恤1件、夏季男生短裤（女生短裙）1件）、春秋装1套（含春秋运动上衣1件、春秋运动裤1件）、冬装1套（含冬装上衣1件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冬装裤1件</w:t>
      </w:r>
      <w:r>
        <w:rPr>
          <w:rFonts w:hint="eastAsia" w:ascii="宋体" w:hAnsi="宋体" w:eastAsia="宋体" w:cs="宋体"/>
          <w:sz w:val="21"/>
          <w:szCs w:val="21"/>
          <w:highlight w:val="none"/>
        </w:rPr>
        <w:t>）。</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强调：以自愿原则购买，以实际购买数量为准。</w:t>
      </w:r>
      <w:r>
        <w:rPr>
          <w:rFonts w:hint="eastAsia" w:ascii="宋体" w:hAnsi="宋体" w:eastAsia="宋体" w:cs="宋体"/>
          <w:sz w:val="21"/>
          <w:szCs w:val="21"/>
          <w:highlight w:val="none"/>
          <w:lang w:eastAsia="zh-CN"/>
        </w:rPr>
        <w:t>）</w:t>
      </w:r>
    </w:p>
    <w:p w14:paraId="6A99DB04">
      <w:pPr>
        <w:spacing w:before="200" w:after="100"/>
        <w:jc w:val="left"/>
        <w:outlineLvl w:val="1"/>
        <w:rPr>
          <w:rFonts w:ascii="楷体" w:hAnsi="宋体" w:eastAsia="楷体" w:cs="宋体"/>
          <w:color w:val="auto"/>
          <w:sz w:val="32"/>
        </w:rPr>
      </w:pPr>
      <w:r>
        <w:rPr>
          <w:rFonts w:hint="eastAsia" w:ascii="楷体" w:hAnsi="宋体" w:eastAsia="楷体" w:cs="宋体"/>
          <w:color w:val="auto"/>
          <w:sz w:val="32"/>
        </w:rPr>
        <w:t>（二）设计与样式</w:t>
      </w:r>
    </w:p>
    <w:p w14:paraId="1489839F">
      <w:pPr>
        <w:spacing w:line="360" w:lineRule="auto"/>
        <w:ind w:firstLine="482"/>
        <w:jc w:val="left"/>
        <w:rPr>
          <w:rFonts w:ascii="仿宋" w:hAnsi="宋体" w:eastAsia="仿宋" w:cs="宋体"/>
          <w:color w:val="000000" w:themeColor="text1"/>
          <w:sz w:val="24"/>
          <w:highlight w:val="none"/>
          <w14:textFill>
            <w14:solidFill>
              <w14:schemeClr w14:val="tx1"/>
            </w14:solidFill>
          </w14:textFill>
        </w:rPr>
      </w:pPr>
      <w:r>
        <w:rPr>
          <w:rFonts w:hint="eastAsia" w:ascii="宋体" w:hAnsi="宋体" w:eastAsia="宋体" w:cs="宋体"/>
          <w:color w:val="auto"/>
          <w:sz w:val="21"/>
          <w:szCs w:val="21"/>
        </w:rPr>
        <w:t>为</w:t>
      </w:r>
      <w:r>
        <w:rPr>
          <w:rFonts w:hint="eastAsia" w:ascii="宋体" w:hAnsi="宋体" w:eastAsia="宋体" w:cs="宋体"/>
          <w:color w:val="000000" w:themeColor="text1"/>
          <w:sz w:val="21"/>
          <w:szCs w:val="21"/>
          <w:highlight w:val="none"/>
          <w14:textFill>
            <w14:solidFill>
              <w14:schemeClr w14:val="tx1"/>
            </w14:solidFill>
          </w14:textFill>
        </w:rPr>
        <w:t>保持校园文化的连贯性与统一性，本次校服采购、不改款事项已通过</w:t>
      </w:r>
      <w:r>
        <w:rPr>
          <w:rFonts w:hint="eastAsia" w:ascii="宋体" w:hAnsi="宋体" w:eastAsia="宋体" w:cs="宋体"/>
          <w:color w:val="000000" w:themeColor="text1"/>
          <w:sz w:val="21"/>
          <w:szCs w:val="21"/>
          <w:highlight w:val="none"/>
          <w:lang w:val="en-US" w:eastAsia="zh-CN"/>
          <w14:textFill>
            <w14:solidFill>
              <w14:schemeClr w14:val="tx1"/>
            </w14:solidFill>
          </w14:textFill>
        </w:rPr>
        <w:t>校服选用组织</w:t>
      </w:r>
      <w:r>
        <w:rPr>
          <w:rFonts w:hint="eastAsia" w:ascii="宋体" w:hAnsi="宋体" w:eastAsia="宋体" w:cs="宋体"/>
          <w:color w:val="000000" w:themeColor="text1"/>
          <w:sz w:val="21"/>
          <w:szCs w:val="21"/>
          <w:highlight w:val="none"/>
          <w14:textFill>
            <w14:solidFill>
              <w14:schemeClr w14:val="tx1"/>
            </w14:solidFill>
          </w14:textFill>
        </w:rPr>
        <w:t>表决确定，其中家长代表和学生代表占总人数的</w:t>
      </w:r>
      <w:r>
        <w:rPr>
          <w:rFonts w:hint="eastAsia" w:ascii="宋体" w:hAnsi="宋体" w:eastAsia="宋体" w:cs="宋体"/>
          <w:color w:val="000000" w:themeColor="text1"/>
          <w:sz w:val="21"/>
          <w:szCs w:val="21"/>
          <w:highlight w:val="none"/>
          <w:lang w:val="en-US" w:eastAsia="zh-CN"/>
          <w14:textFill>
            <w14:solidFill>
              <w14:schemeClr w14:val="tx1"/>
            </w14:solidFill>
          </w14:textFill>
        </w:rPr>
        <w:t>81.82</w:t>
      </w:r>
      <w:r>
        <w:rPr>
          <w:rFonts w:hint="eastAsia" w:ascii="宋体" w:hAnsi="宋体" w:eastAsia="宋体" w:cs="宋体"/>
          <w:color w:val="000000" w:themeColor="text1"/>
          <w:sz w:val="21"/>
          <w:szCs w:val="21"/>
          <w:highlight w:val="none"/>
          <w14:textFill>
            <w14:solidFill>
              <w14:schemeClr w14:val="tx1"/>
            </w14:solidFill>
          </w14:textFill>
        </w:rPr>
        <w:t>%，故本次采购校服将沿用学校原有款式，不做调整。校服颜色、版型、校徽印制位置等均按照原有样式执行，校服质量标准要和原有校服一致或高于原来标准，确保新生校服与原有在校学生的校服保持一致。</w:t>
      </w:r>
    </w:p>
    <w:p w14:paraId="09867D8D">
      <w:pPr>
        <w:spacing w:before="200" w:after="100"/>
        <w:jc w:val="left"/>
        <w:outlineLvl w:val="1"/>
        <w:rPr>
          <w:rFonts w:ascii="楷体" w:hAnsi="宋体" w:eastAsia="楷体" w:cs="宋体"/>
          <w:color w:val="auto"/>
          <w:sz w:val="32"/>
        </w:rPr>
      </w:pPr>
      <w:r>
        <w:rPr>
          <w:rFonts w:hint="eastAsia" w:ascii="楷体" w:hAnsi="宋体" w:eastAsia="楷体" w:cs="宋体"/>
          <w:color w:val="auto"/>
          <w:sz w:val="32"/>
        </w:rPr>
        <w:t>（三）材质与安全标准</w:t>
      </w:r>
    </w:p>
    <w:p w14:paraId="0DA534C9">
      <w:pPr>
        <w:ind w:firstLine="482"/>
        <w:jc w:val="left"/>
        <w:rPr>
          <w:rFonts w:hint="eastAsia" w:ascii="宋体" w:hAnsi="宋体" w:eastAsia="宋体" w:cs="宋体"/>
          <w:color w:val="auto"/>
          <w:sz w:val="21"/>
          <w:szCs w:val="21"/>
        </w:rPr>
      </w:pPr>
      <w:r>
        <w:rPr>
          <w:rFonts w:hint="eastAsia" w:ascii="宋体" w:hAnsi="宋体" w:eastAsia="宋体" w:cs="宋体"/>
          <w:color w:val="auto"/>
          <w:sz w:val="21"/>
          <w:szCs w:val="21"/>
        </w:rPr>
        <w:t>1.面料、款式要求：</w:t>
      </w:r>
    </w:p>
    <w:tbl>
      <w:tblPr>
        <w:tblStyle w:val="8"/>
        <w:tblW w:w="77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7"/>
        <w:gridCol w:w="945"/>
        <w:gridCol w:w="2827"/>
        <w:gridCol w:w="2368"/>
      </w:tblGrid>
      <w:tr w14:paraId="0612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37" w:type="dxa"/>
            <w:vAlign w:val="center"/>
          </w:tcPr>
          <w:p w14:paraId="451286DC">
            <w:pPr>
              <w:widowControl w:val="0"/>
              <w:snapToGrid w:val="0"/>
              <w:ind w:left="0" w:leftChars="0" w:right="0" w:rightChars="0" w:firstLine="0" w:firstLineChars="0"/>
              <w:jc w:val="center"/>
              <w:rPr>
                <w:rFonts w:hint="eastAsia" w:ascii="仿宋" w:hAnsi="仿宋" w:eastAsia="仿宋" w:cs="仿宋"/>
                <w:b/>
                <w:bCs/>
                <w:snapToGrid w:val="0"/>
                <w:color w:val="000000"/>
                <w:spacing w:val="23"/>
                <w:kern w:val="0"/>
                <w:sz w:val="24"/>
                <w:szCs w:val="24"/>
                <w:vertAlign w:val="baseline"/>
                <w:lang w:val="en-US" w:eastAsia="zh-CN" w:bidi="ar-SA"/>
              </w:rPr>
            </w:pPr>
            <w:r>
              <w:rPr>
                <w:rFonts w:hint="eastAsia" w:ascii="仿宋" w:hAnsi="仿宋" w:eastAsia="仿宋" w:cs="仿宋"/>
                <w:b/>
                <w:bCs/>
                <w:snapToGrid w:val="0"/>
                <w:color w:val="000000"/>
                <w:spacing w:val="23"/>
                <w:kern w:val="0"/>
                <w:sz w:val="24"/>
                <w:szCs w:val="24"/>
                <w:vertAlign w:val="baseline"/>
                <w:lang w:val="en-US" w:eastAsia="zh-CN" w:bidi="ar-SA"/>
              </w:rPr>
              <w:t>校服款式</w:t>
            </w:r>
          </w:p>
        </w:tc>
        <w:tc>
          <w:tcPr>
            <w:tcW w:w="945" w:type="dxa"/>
            <w:vAlign w:val="center"/>
          </w:tcPr>
          <w:p w14:paraId="712E9D4B">
            <w:pPr>
              <w:widowControl w:val="0"/>
              <w:snapToGrid w:val="0"/>
              <w:ind w:left="0" w:leftChars="0" w:right="0" w:rightChars="0" w:firstLine="0" w:firstLineChars="0"/>
              <w:jc w:val="center"/>
              <w:rPr>
                <w:rFonts w:hint="eastAsia" w:ascii="仿宋" w:hAnsi="仿宋" w:eastAsia="仿宋" w:cs="仿宋"/>
                <w:b/>
                <w:bCs/>
                <w:snapToGrid w:val="0"/>
                <w:color w:val="000000"/>
                <w:spacing w:val="23"/>
                <w:kern w:val="0"/>
                <w:sz w:val="24"/>
                <w:szCs w:val="24"/>
                <w:vertAlign w:val="baseline"/>
                <w:lang w:val="en-US" w:eastAsia="zh-CN" w:bidi="ar-SA"/>
              </w:rPr>
            </w:pPr>
            <w:r>
              <w:rPr>
                <w:rFonts w:hint="eastAsia" w:ascii="仿宋" w:hAnsi="仿宋" w:eastAsia="仿宋" w:cs="仿宋"/>
                <w:b/>
                <w:bCs/>
                <w:snapToGrid w:val="0"/>
                <w:color w:val="000000"/>
                <w:spacing w:val="23"/>
                <w:kern w:val="0"/>
                <w:sz w:val="24"/>
                <w:szCs w:val="24"/>
                <w:vertAlign w:val="baseline"/>
                <w:lang w:val="en-US" w:eastAsia="zh-CN" w:bidi="ar-SA"/>
              </w:rPr>
              <w:t>数量</w:t>
            </w:r>
          </w:p>
        </w:tc>
        <w:tc>
          <w:tcPr>
            <w:tcW w:w="2827" w:type="dxa"/>
            <w:vAlign w:val="center"/>
          </w:tcPr>
          <w:p w14:paraId="58D12C79">
            <w:pPr>
              <w:widowControl w:val="0"/>
              <w:snapToGrid w:val="0"/>
              <w:ind w:left="0" w:leftChars="0" w:right="0" w:rightChars="0" w:firstLine="0" w:firstLineChars="0"/>
              <w:jc w:val="center"/>
              <w:rPr>
                <w:rFonts w:hint="eastAsia" w:ascii="仿宋" w:hAnsi="仿宋" w:eastAsia="仿宋" w:cs="仿宋"/>
                <w:b/>
                <w:bCs/>
                <w:snapToGrid w:val="0"/>
                <w:color w:val="000000"/>
                <w:spacing w:val="23"/>
                <w:kern w:val="0"/>
                <w:sz w:val="24"/>
                <w:szCs w:val="24"/>
                <w:vertAlign w:val="baseline"/>
                <w:lang w:val="en-US" w:eastAsia="zh-CN" w:bidi="ar-SA"/>
              </w:rPr>
            </w:pPr>
            <w:r>
              <w:rPr>
                <w:rFonts w:hint="eastAsia" w:ascii="仿宋" w:hAnsi="仿宋" w:eastAsia="仿宋" w:cs="仿宋"/>
                <w:b/>
                <w:bCs/>
                <w:snapToGrid w:val="0"/>
                <w:color w:val="000000"/>
                <w:spacing w:val="23"/>
                <w:kern w:val="0"/>
                <w:sz w:val="24"/>
                <w:szCs w:val="24"/>
                <w:vertAlign w:val="baseline"/>
                <w:lang w:val="en-US" w:eastAsia="zh-CN" w:bidi="ar-SA"/>
              </w:rPr>
              <w:t>材质</w:t>
            </w:r>
          </w:p>
        </w:tc>
        <w:tc>
          <w:tcPr>
            <w:tcW w:w="2368" w:type="dxa"/>
            <w:vAlign w:val="center"/>
          </w:tcPr>
          <w:p w14:paraId="11419387">
            <w:pPr>
              <w:widowControl w:val="0"/>
              <w:snapToGrid w:val="0"/>
              <w:ind w:left="0" w:leftChars="0" w:right="0" w:rightChars="0" w:firstLine="0" w:firstLineChars="0"/>
              <w:jc w:val="center"/>
              <w:rPr>
                <w:rFonts w:hint="eastAsia" w:ascii="仿宋" w:hAnsi="仿宋" w:eastAsia="仿宋" w:cs="仿宋"/>
                <w:b/>
                <w:bCs/>
                <w:snapToGrid w:val="0"/>
                <w:color w:val="000000"/>
                <w:spacing w:val="23"/>
                <w:kern w:val="0"/>
                <w:sz w:val="24"/>
                <w:szCs w:val="24"/>
                <w:vertAlign w:val="baseline"/>
                <w:lang w:val="en-US" w:eastAsia="zh-CN" w:bidi="ar-SA"/>
              </w:rPr>
            </w:pPr>
            <w:r>
              <w:rPr>
                <w:rFonts w:hint="eastAsia" w:ascii="仿宋" w:hAnsi="仿宋" w:eastAsia="仿宋" w:cs="仿宋"/>
                <w:b/>
                <w:bCs/>
                <w:snapToGrid w:val="0"/>
                <w:color w:val="000000"/>
                <w:spacing w:val="23"/>
                <w:kern w:val="0"/>
                <w:sz w:val="24"/>
                <w:szCs w:val="24"/>
                <w:vertAlign w:val="baseline"/>
                <w:lang w:val="en-US" w:eastAsia="zh-CN" w:bidi="ar-SA"/>
              </w:rPr>
              <w:t>样式图</w:t>
            </w:r>
          </w:p>
        </w:tc>
      </w:tr>
      <w:tr w14:paraId="1E1D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37" w:type="dxa"/>
            <w:vAlign w:val="center"/>
          </w:tcPr>
          <w:p w14:paraId="74F65FAF">
            <w:pPr>
              <w:widowControl w:val="0"/>
              <w:snapToGrid w:val="0"/>
              <w:ind w:left="0" w:leftChars="0" w:right="0" w:rightChars="0" w:firstLine="0" w:firstLineChars="0"/>
              <w:jc w:val="center"/>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t>夏季短袖T恤</w:t>
            </w:r>
          </w:p>
        </w:tc>
        <w:tc>
          <w:tcPr>
            <w:tcW w:w="945" w:type="dxa"/>
            <w:vAlign w:val="center"/>
          </w:tcPr>
          <w:p w14:paraId="073CBC32">
            <w:pPr>
              <w:widowControl w:val="0"/>
              <w:snapToGrid w:val="0"/>
              <w:ind w:left="0" w:leftChars="0" w:right="0" w:rightChars="0" w:firstLine="0" w:firstLineChars="0"/>
              <w:jc w:val="center"/>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t>1</w:t>
            </w:r>
          </w:p>
        </w:tc>
        <w:tc>
          <w:tcPr>
            <w:tcW w:w="2827" w:type="dxa"/>
            <w:vAlign w:val="center"/>
          </w:tcPr>
          <w:p w14:paraId="5C24603A">
            <w:pPr>
              <w:widowControl w:val="0"/>
              <w:snapToGrid w:val="0"/>
              <w:ind w:left="0" w:leftChars="0" w:right="0" w:rightChars="0" w:firstLine="0" w:firstLineChars="0"/>
              <w:jc w:val="left"/>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t>60%棉40%聚酯纤维</w:t>
            </w:r>
          </w:p>
          <w:p w14:paraId="19B56F8F">
            <w:pPr>
              <w:widowControl w:val="0"/>
              <w:snapToGrid w:val="0"/>
              <w:ind w:left="0" w:leftChars="0" w:right="0" w:rightChars="0" w:firstLine="0" w:firstLineChars="0"/>
              <w:jc w:val="left"/>
              <w:rPr>
                <w:rFonts w:hint="eastAsia" w:ascii="仿宋" w:hAnsi="仿宋" w:eastAsia="仿宋" w:cs="仿宋"/>
                <w:snapToGrid w:val="0"/>
                <w:color w:val="000000"/>
                <w:spacing w:val="23"/>
                <w:kern w:val="0"/>
                <w:sz w:val="24"/>
                <w:szCs w:val="24"/>
                <w:vertAlign w:val="baseline"/>
                <w:lang w:val="en-US" w:eastAsia="zh-CN" w:bidi="ar-SA"/>
              </w:rPr>
            </w:pPr>
          </w:p>
        </w:tc>
        <w:tc>
          <w:tcPr>
            <w:tcW w:w="2368" w:type="dxa"/>
            <w:vAlign w:val="center"/>
          </w:tcPr>
          <w:p w14:paraId="54C81E7A">
            <w:pPr>
              <w:widowControl w:val="0"/>
              <w:snapToGrid w:val="0"/>
              <w:ind w:left="0" w:leftChars="0" w:right="0" w:rightChars="0" w:firstLine="0" w:firstLineChars="0"/>
              <w:jc w:val="center"/>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drawing>
                <wp:inline distT="0" distB="0" distL="114300" distR="114300">
                  <wp:extent cx="830580" cy="919480"/>
                  <wp:effectExtent l="0" t="0" r="7620" b="10160"/>
                  <wp:docPr id="15" name="图片 15" descr="473b14fd6a4d2d0dfbd30eb7d4888c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473b14fd6a4d2d0dfbd30eb7d4888cfb"/>
                          <pic:cNvPicPr>
                            <a:picLocks noChangeAspect="1"/>
                          </pic:cNvPicPr>
                        </pic:nvPicPr>
                        <pic:blipFill>
                          <a:blip r:embed="rId4"/>
                          <a:stretch>
                            <a:fillRect/>
                          </a:stretch>
                        </pic:blipFill>
                        <pic:spPr>
                          <a:xfrm>
                            <a:off x="0" y="0"/>
                            <a:ext cx="830580" cy="919480"/>
                          </a:xfrm>
                          <a:prstGeom prst="rect">
                            <a:avLst/>
                          </a:prstGeom>
                        </pic:spPr>
                      </pic:pic>
                    </a:graphicData>
                  </a:graphic>
                </wp:inline>
              </w:drawing>
            </w:r>
          </w:p>
        </w:tc>
      </w:tr>
      <w:tr w14:paraId="69F1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37" w:type="dxa"/>
            <w:vAlign w:val="center"/>
          </w:tcPr>
          <w:p w14:paraId="74DEE380">
            <w:pPr>
              <w:widowControl w:val="0"/>
              <w:snapToGrid w:val="0"/>
              <w:ind w:left="0" w:leftChars="0" w:right="0" w:rightChars="0" w:firstLine="0" w:firstLineChars="0"/>
              <w:jc w:val="center"/>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t>夏季男生短裤（女生短裙）</w:t>
            </w:r>
          </w:p>
        </w:tc>
        <w:tc>
          <w:tcPr>
            <w:tcW w:w="945" w:type="dxa"/>
            <w:vAlign w:val="center"/>
          </w:tcPr>
          <w:p w14:paraId="26A29F63">
            <w:pPr>
              <w:widowControl w:val="0"/>
              <w:snapToGrid w:val="0"/>
              <w:ind w:left="0" w:leftChars="0" w:right="0" w:rightChars="0" w:firstLine="0" w:firstLineChars="0"/>
              <w:jc w:val="center"/>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t>1</w:t>
            </w:r>
          </w:p>
        </w:tc>
        <w:tc>
          <w:tcPr>
            <w:tcW w:w="2827" w:type="dxa"/>
            <w:vAlign w:val="center"/>
          </w:tcPr>
          <w:p w14:paraId="4D955D05">
            <w:pPr>
              <w:widowControl w:val="0"/>
              <w:snapToGrid w:val="0"/>
              <w:ind w:left="0" w:leftChars="0" w:right="0" w:rightChars="0" w:firstLine="0" w:firstLineChars="0"/>
              <w:jc w:val="left"/>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t>短裤：62%棉38%聚酯纤维</w:t>
            </w:r>
          </w:p>
          <w:p w14:paraId="6468D2A6">
            <w:pPr>
              <w:widowControl w:val="0"/>
              <w:snapToGrid w:val="0"/>
              <w:ind w:left="0" w:leftChars="0" w:right="0" w:rightChars="0" w:firstLine="0" w:firstLineChars="0"/>
              <w:jc w:val="left"/>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t>裙裤：62%棉38%聚酯纤维+100%棉（内胆）</w:t>
            </w:r>
          </w:p>
          <w:p w14:paraId="70C887CE">
            <w:pPr>
              <w:widowControl w:val="0"/>
              <w:snapToGrid w:val="0"/>
              <w:ind w:left="0" w:leftChars="0" w:right="0" w:rightChars="0" w:firstLine="0" w:firstLineChars="0"/>
              <w:jc w:val="left"/>
              <w:rPr>
                <w:rFonts w:hint="eastAsia" w:ascii="仿宋" w:hAnsi="仿宋" w:eastAsia="仿宋" w:cs="仿宋"/>
                <w:snapToGrid w:val="0"/>
                <w:color w:val="000000"/>
                <w:spacing w:val="23"/>
                <w:kern w:val="0"/>
                <w:sz w:val="24"/>
                <w:szCs w:val="24"/>
                <w:vertAlign w:val="baseline"/>
                <w:lang w:val="en-US" w:eastAsia="zh-CN" w:bidi="ar-SA"/>
              </w:rPr>
            </w:pPr>
          </w:p>
        </w:tc>
        <w:tc>
          <w:tcPr>
            <w:tcW w:w="2368" w:type="dxa"/>
            <w:vAlign w:val="center"/>
          </w:tcPr>
          <w:p w14:paraId="3401163D">
            <w:pPr>
              <w:widowControl w:val="0"/>
              <w:snapToGrid w:val="0"/>
              <w:ind w:left="0" w:leftChars="0" w:right="0" w:rightChars="0" w:firstLine="0" w:firstLineChars="0"/>
              <w:jc w:val="center"/>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drawing>
                <wp:inline distT="0" distB="0" distL="114300" distR="114300">
                  <wp:extent cx="1237615" cy="617220"/>
                  <wp:effectExtent l="0" t="0" r="12065" b="7620"/>
                  <wp:docPr id="13" name="图片 13" descr="dd7dd4192832e052a6ae8f663428a4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d7dd4192832e052a6ae8f663428a4ca"/>
                          <pic:cNvPicPr>
                            <a:picLocks noChangeAspect="1"/>
                          </pic:cNvPicPr>
                        </pic:nvPicPr>
                        <pic:blipFill>
                          <a:blip r:embed="rId5"/>
                          <a:stretch>
                            <a:fillRect/>
                          </a:stretch>
                        </pic:blipFill>
                        <pic:spPr>
                          <a:xfrm>
                            <a:off x="0" y="0"/>
                            <a:ext cx="1237615" cy="617220"/>
                          </a:xfrm>
                          <a:prstGeom prst="rect">
                            <a:avLst/>
                          </a:prstGeom>
                        </pic:spPr>
                      </pic:pic>
                    </a:graphicData>
                  </a:graphic>
                </wp:inline>
              </w:drawing>
            </w:r>
          </w:p>
        </w:tc>
      </w:tr>
      <w:tr w14:paraId="6E18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37" w:type="dxa"/>
            <w:vAlign w:val="center"/>
          </w:tcPr>
          <w:p w14:paraId="590E2CF0">
            <w:pPr>
              <w:widowControl w:val="0"/>
              <w:snapToGrid w:val="0"/>
              <w:ind w:left="0" w:leftChars="0" w:right="0" w:rightChars="0" w:firstLine="0" w:firstLineChars="0"/>
              <w:jc w:val="center"/>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t>春秋运动上衣</w:t>
            </w:r>
          </w:p>
        </w:tc>
        <w:tc>
          <w:tcPr>
            <w:tcW w:w="945" w:type="dxa"/>
            <w:vAlign w:val="center"/>
          </w:tcPr>
          <w:p w14:paraId="48BC0E58">
            <w:pPr>
              <w:widowControl w:val="0"/>
              <w:snapToGrid w:val="0"/>
              <w:ind w:left="0" w:leftChars="0" w:right="0" w:rightChars="0" w:firstLine="0" w:firstLineChars="0"/>
              <w:jc w:val="center"/>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t>1</w:t>
            </w:r>
          </w:p>
        </w:tc>
        <w:tc>
          <w:tcPr>
            <w:tcW w:w="2827" w:type="dxa"/>
            <w:vAlign w:val="center"/>
          </w:tcPr>
          <w:p w14:paraId="1494585F">
            <w:pPr>
              <w:widowControl w:val="0"/>
              <w:snapToGrid w:val="0"/>
              <w:ind w:left="0" w:leftChars="0" w:right="0" w:rightChars="0" w:firstLine="0" w:firstLineChars="0"/>
              <w:jc w:val="left"/>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t>60%棉40%聚酯纤维</w:t>
            </w:r>
          </w:p>
          <w:p w14:paraId="6B6408C5">
            <w:pPr>
              <w:widowControl w:val="0"/>
              <w:snapToGrid w:val="0"/>
              <w:ind w:left="0" w:leftChars="0" w:right="0" w:rightChars="0" w:firstLine="0" w:firstLineChars="0"/>
              <w:jc w:val="left"/>
              <w:rPr>
                <w:rFonts w:hint="eastAsia" w:ascii="仿宋" w:hAnsi="仿宋" w:eastAsia="仿宋" w:cs="仿宋"/>
                <w:snapToGrid w:val="0"/>
                <w:color w:val="000000"/>
                <w:spacing w:val="23"/>
                <w:kern w:val="0"/>
                <w:sz w:val="24"/>
                <w:szCs w:val="24"/>
                <w:vertAlign w:val="baseline"/>
                <w:lang w:val="en-US" w:eastAsia="zh-CN" w:bidi="ar-SA"/>
              </w:rPr>
            </w:pPr>
          </w:p>
        </w:tc>
        <w:tc>
          <w:tcPr>
            <w:tcW w:w="2368" w:type="dxa"/>
            <w:vAlign w:val="center"/>
          </w:tcPr>
          <w:p w14:paraId="6AB9D3BC">
            <w:pPr>
              <w:widowControl w:val="0"/>
              <w:snapToGrid w:val="0"/>
              <w:ind w:left="0" w:leftChars="0" w:right="0" w:rightChars="0" w:firstLine="0" w:firstLineChars="0"/>
              <w:jc w:val="center"/>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drawing>
                <wp:inline distT="0" distB="0" distL="114300" distR="114300">
                  <wp:extent cx="1073785" cy="654685"/>
                  <wp:effectExtent l="0" t="0" r="8255" b="635"/>
                  <wp:docPr id="8" name="图片 8" descr="3f68b220d9176dac438d5111605569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f68b220d9176dac438d5111605569b3"/>
                          <pic:cNvPicPr>
                            <a:picLocks noChangeAspect="1"/>
                          </pic:cNvPicPr>
                        </pic:nvPicPr>
                        <pic:blipFill>
                          <a:blip r:embed="rId6"/>
                          <a:stretch>
                            <a:fillRect/>
                          </a:stretch>
                        </pic:blipFill>
                        <pic:spPr>
                          <a:xfrm>
                            <a:off x="0" y="0"/>
                            <a:ext cx="1073785" cy="654685"/>
                          </a:xfrm>
                          <a:prstGeom prst="rect">
                            <a:avLst/>
                          </a:prstGeom>
                        </pic:spPr>
                      </pic:pic>
                    </a:graphicData>
                  </a:graphic>
                </wp:inline>
              </w:drawing>
            </w:r>
          </w:p>
        </w:tc>
      </w:tr>
      <w:tr w14:paraId="0AFA3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37" w:type="dxa"/>
            <w:vAlign w:val="center"/>
          </w:tcPr>
          <w:p w14:paraId="3946C279">
            <w:pPr>
              <w:widowControl w:val="0"/>
              <w:snapToGrid w:val="0"/>
              <w:ind w:left="0" w:leftChars="0" w:right="0" w:rightChars="0" w:firstLine="0" w:firstLineChars="0"/>
              <w:jc w:val="center"/>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t>春秋运动裤</w:t>
            </w:r>
          </w:p>
        </w:tc>
        <w:tc>
          <w:tcPr>
            <w:tcW w:w="945" w:type="dxa"/>
            <w:vAlign w:val="center"/>
          </w:tcPr>
          <w:p w14:paraId="0C9FF2CF">
            <w:pPr>
              <w:widowControl w:val="0"/>
              <w:snapToGrid w:val="0"/>
              <w:ind w:left="0" w:leftChars="0" w:right="0" w:rightChars="0" w:firstLine="0" w:firstLineChars="0"/>
              <w:jc w:val="center"/>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t>1</w:t>
            </w:r>
          </w:p>
        </w:tc>
        <w:tc>
          <w:tcPr>
            <w:tcW w:w="2827" w:type="dxa"/>
            <w:vAlign w:val="center"/>
          </w:tcPr>
          <w:p w14:paraId="688A8381">
            <w:pPr>
              <w:widowControl w:val="0"/>
              <w:snapToGrid w:val="0"/>
              <w:ind w:left="0" w:leftChars="0" w:right="0" w:rightChars="0" w:firstLine="0" w:firstLineChars="0"/>
              <w:jc w:val="left"/>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t>60%棉40%聚酯纤维</w:t>
            </w:r>
          </w:p>
        </w:tc>
        <w:tc>
          <w:tcPr>
            <w:tcW w:w="2368" w:type="dxa"/>
            <w:vAlign w:val="center"/>
          </w:tcPr>
          <w:p w14:paraId="5E6DB578">
            <w:pPr>
              <w:widowControl w:val="0"/>
              <w:snapToGrid w:val="0"/>
              <w:ind w:left="0" w:leftChars="0" w:right="0" w:rightChars="0" w:firstLine="0" w:firstLineChars="0"/>
              <w:jc w:val="center"/>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drawing>
                <wp:inline distT="0" distB="0" distL="114300" distR="114300">
                  <wp:extent cx="951865" cy="731520"/>
                  <wp:effectExtent l="0" t="0" r="8255" b="0"/>
                  <wp:docPr id="9" name="图片 9" descr="96be0518e96641da442e9b52c7a11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96be0518e96641da442e9b52c7a11ede"/>
                          <pic:cNvPicPr>
                            <a:picLocks noChangeAspect="1"/>
                          </pic:cNvPicPr>
                        </pic:nvPicPr>
                        <pic:blipFill>
                          <a:blip r:embed="rId7"/>
                          <a:stretch>
                            <a:fillRect/>
                          </a:stretch>
                        </pic:blipFill>
                        <pic:spPr>
                          <a:xfrm>
                            <a:off x="0" y="0"/>
                            <a:ext cx="951865" cy="731520"/>
                          </a:xfrm>
                          <a:prstGeom prst="rect">
                            <a:avLst/>
                          </a:prstGeom>
                        </pic:spPr>
                      </pic:pic>
                    </a:graphicData>
                  </a:graphic>
                </wp:inline>
              </w:drawing>
            </w:r>
          </w:p>
        </w:tc>
      </w:tr>
      <w:tr w14:paraId="7FAB7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37" w:type="dxa"/>
            <w:vAlign w:val="center"/>
          </w:tcPr>
          <w:p w14:paraId="5920BD8F">
            <w:pPr>
              <w:widowControl w:val="0"/>
              <w:snapToGrid w:val="0"/>
              <w:ind w:left="0" w:leftChars="0" w:right="0" w:rightChars="0" w:firstLine="0" w:firstLineChars="0"/>
              <w:jc w:val="center"/>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t>冬装上衣</w:t>
            </w:r>
          </w:p>
        </w:tc>
        <w:tc>
          <w:tcPr>
            <w:tcW w:w="945" w:type="dxa"/>
            <w:vAlign w:val="center"/>
          </w:tcPr>
          <w:p w14:paraId="173E4ED6">
            <w:pPr>
              <w:widowControl w:val="0"/>
              <w:snapToGrid w:val="0"/>
              <w:ind w:left="0" w:leftChars="0" w:right="0" w:rightChars="0" w:firstLine="0" w:firstLineChars="0"/>
              <w:jc w:val="center"/>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t>1</w:t>
            </w:r>
          </w:p>
        </w:tc>
        <w:tc>
          <w:tcPr>
            <w:tcW w:w="2827" w:type="dxa"/>
            <w:vAlign w:val="center"/>
          </w:tcPr>
          <w:p w14:paraId="691C8166">
            <w:pPr>
              <w:widowControl w:val="0"/>
              <w:snapToGrid w:val="0"/>
              <w:ind w:left="0" w:leftChars="0" w:right="0" w:rightChars="0" w:firstLine="0" w:firstLineChars="0"/>
              <w:jc w:val="left"/>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t>外壳：100%聚酯纤维</w:t>
            </w:r>
          </w:p>
          <w:p w14:paraId="7886309F">
            <w:pPr>
              <w:widowControl w:val="0"/>
              <w:snapToGrid w:val="0"/>
              <w:ind w:left="0" w:leftChars="0" w:right="0" w:rightChars="0" w:firstLine="0" w:firstLineChars="0"/>
              <w:jc w:val="left"/>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t>内胆：摇粒绒（100%聚酯纤维）</w:t>
            </w:r>
          </w:p>
          <w:p w14:paraId="710D83FC">
            <w:pPr>
              <w:widowControl w:val="0"/>
              <w:snapToGrid w:val="0"/>
              <w:ind w:left="0" w:leftChars="0" w:right="0" w:rightChars="0" w:firstLine="0" w:firstLineChars="0"/>
              <w:jc w:val="left"/>
              <w:rPr>
                <w:rFonts w:hint="eastAsia" w:ascii="仿宋" w:hAnsi="仿宋" w:eastAsia="仿宋" w:cs="仿宋"/>
                <w:snapToGrid w:val="0"/>
                <w:color w:val="000000"/>
                <w:spacing w:val="23"/>
                <w:kern w:val="0"/>
                <w:sz w:val="24"/>
                <w:szCs w:val="24"/>
                <w:vertAlign w:val="baseline"/>
                <w:lang w:val="en-US" w:eastAsia="zh-CN" w:bidi="ar-SA"/>
              </w:rPr>
            </w:pPr>
          </w:p>
        </w:tc>
        <w:tc>
          <w:tcPr>
            <w:tcW w:w="2368" w:type="dxa"/>
            <w:vAlign w:val="center"/>
          </w:tcPr>
          <w:p w14:paraId="5D9685B3">
            <w:pPr>
              <w:widowControl w:val="0"/>
              <w:snapToGrid w:val="0"/>
              <w:ind w:left="0" w:leftChars="0" w:right="0" w:rightChars="0" w:firstLine="0" w:firstLineChars="0"/>
              <w:jc w:val="center"/>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drawing>
                <wp:inline distT="0" distB="0" distL="114300" distR="114300">
                  <wp:extent cx="1133475" cy="706755"/>
                  <wp:effectExtent l="0" t="0" r="9525" b="9525"/>
                  <wp:docPr id="11" name="图片 11" descr="d2826763a57d75908902a9aa0cf1b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2826763a57d75908902a9aa0cf1b087"/>
                          <pic:cNvPicPr>
                            <a:picLocks noChangeAspect="1"/>
                          </pic:cNvPicPr>
                        </pic:nvPicPr>
                        <pic:blipFill>
                          <a:blip r:embed="rId8"/>
                          <a:stretch>
                            <a:fillRect/>
                          </a:stretch>
                        </pic:blipFill>
                        <pic:spPr>
                          <a:xfrm>
                            <a:off x="0" y="0"/>
                            <a:ext cx="1133475" cy="706755"/>
                          </a:xfrm>
                          <a:prstGeom prst="rect">
                            <a:avLst/>
                          </a:prstGeom>
                        </pic:spPr>
                      </pic:pic>
                    </a:graphicData>
                  </a:graphic>
                </wp:inline>
              </w:drawing>
            </w:r>
          </w:p>
        </w:tc>
      </w:tr>
      <w:tr w14:paraId="0C48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37" w:type="dxa"/>
            <w:vAlign w:val="center"/>
          </w:tcPr>
          <w:p w14:paraId="39DDD138">
            <w:pPr>
              <w:widowControl w:val="0"/>
              <w:snapToGrid w:val="0"/>
              <w:ind w:left="0" w:leftChars="0" w:right="0" w:rightChars="0" w:firstLine="0" w:firstLineChars="0"/>
              <w:jc w:val="center"/>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t>冬装裤</w:t>
            </w:r>
          </w:p>
        </w:tc>
        <w:tc>
          <w:tcPr>
            <w:tcW w:w="945" w:type="dxa"/>
            <w:vAlign w:val="center"/>
          </w:tcPr>
          <w:p w14:paraId="3C8B476D">
            <w:pPr>
              <w:widowControl w:val="0"/>
              <w:snapToGrid w:val="0"/>
              <w:ind w:left="0" w:leftChars="0" w:right="0" w:rightChars="0" w:firstLine="0" w:firstLineChars="0"/>
              <w:jc w:val="center"/>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t>1</w:t>
            </w:r>
          </w:p>
        </w:tc>
        <w:tc>
          <w:tcPr>
            <w:tcW w:w="2827" w:type="dxa"/>
            <w:vAlign w:val="center"/>
          </w:tcPr>
          <w:p w14:paraId="467A979D">
            <w:pPr>
              <w:widowControl w:val="0"/>
              <w:snapToGrid w:val="0"/>
              <w:ind w:left="0" w:leftChars="0" w:right="0" w:rightChars="0" w:firstLine="0" w:firstLineChars="0"/>
              <w:jc w:val="left"/>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t>表层：68%棉28%聚酯纤维4%氯纶</w:t>
            </w:r>
          </w:p>
          <w:p w14:paraId="14CA2D37">
            <w:pPr>
              <w:widowControl w:val="0"/>
              <w:snapToGrid w:val="0"/>
              <w:ind w:left="0" w:leftChars="0" w:right="0" w:rightChars="0" w:firstLine="0" w:firstLineChars="0"/>
              <w:jc w:val="left"/>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t>里层：95%聚酯纤维5%氯纶</w:t>
            </w:r>
          </w:p>
        </w:tc>
        <w:tc>
          <w:tcPr>
            <w:tcW w:w="2368" w:type="dxa"/>
            <w:vAlign w:val="center"/>
          </w:tcPr>
          <w:p w14:paraId="4CE254EA">
            <w:pPr>
              <w:widowControl w:val="0"/>
              <w:snapToGrid w:val="0"/>
              <w:ind w:left="0" w:leftChars="0" w:right="0" w:rightChars="0" w:firstLine="0" w:firstLineChars="0"/>
              <w:jc w:val="center"/>
              <w:rPr>
                <w:rFonts w:hint="eastAsia" w:ascii="仿宋" w:hAnsi="仿宋" w:eastAsia="仿宋" w:cs="仿宋"/>
                <w:snapToGrid w:val="0"/>
                <w:color w:val="000000"/>
                <w:spacing w:val="23"/>
                <w:kern w:val="0"/>
                <w:sz w:val="24"/>
                <w:szCs w:val="24"/>
                <w:vertAlign w:val="baseline"/>
                <w:lang w:val="en-US" w:eastAsia="zh-CN" w:bidi="ar-SA"/>
              </w:rPr>
            </w:pPr>
            <w:r>
              <w:rPr>
                <w:rFonts w:hint="eastAsia" w:ascii="仿宋" w:hAnsi="仿宋" w:eastAsia="仿宋" w:cs="仿宋"/>
                <w:snapToGrid w:val="0"/>
                <w:color w:val="000000"/>
                <w:spacing w:val="23"/>
                <w:kern w:val="0"/>
                <w:sz w:val="24"/>
                <w:szCs w:val="24"/>
                <w:vertAlign w:val="baseline"/>
                <w:lang w:val="en-US" w:eastAsia="zh-CN" w:bidi="ar-SA"/>
              </w:rPr>
              <w:drawing>
                <wp:inline distT="0" distB="0" distL="114300" distR="114300">
                  <wp:extent cx="543560" cy="847090"/>
                  <wp:effectExtent l="0" t="0" r="5080" b="6350"/>
                  <wp:docPr id="12" name="图片 12" descr="af85bbc5c76a28cb3759eb6c3d582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f85bbc5c76a28cb3759eb6c3d582571"/>
                          <pic:cNvPicPr>
                            <a:picLocks noChangeAspect="1"/>
                          </pic:cNvPicPr>
                        </pic:nvPicPr>
                        <pic:blipFill>
                          <a:blip r:embed="rId9"/>
                          <a:stretch>
                            <a:fillRect/>
                          </a:stretch>
                        </pic:blipFill>
                        <pic:spPr>
                          <a:xfrm>
                            <a:off x="0" y="0"/>
                            <a:ext cx="543560" cy="847090"/>
                          </a:xfrm>
                          <a:prstGeom prst="rect">
                            <a:avLst/>
                          </a:prstGeom>
                        </pic:spPr>
                      </pic:pic>
                    </a:graphicData>
                  </a:graphic>
                </wp:inline>
              </w:drawing>
            </w:r>
          </w:p>
        </w:tc>
      </w:tr>
    </w:tbl>
    <w:p w14:paraId="4900697D">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注：校标参考：</w:t>
      </w:r>
    </w:p>
    <w:p w14:paraId="56490AB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eastAsia="宋体"/>
          <w:highlight w:val="none"/>
          <w:lang w:val="en-US" w:eastAsia="zh-CN"/>
        </w:rPr>
        <w:drawing>
          <wp:inline distT="0" distB="0" distL="114300" distR="114300">
            <wp:extent cx="1570355" cy="1612265"/>
            <wp:effectExtent l="0" t="0" r="14605" b="3175"/>
            <wp:docPr id="2" name="图片 2" descr="f4289c75298b8dc8abc7a76d2a9721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4289c75298b8dc8abc7a76d2a9721cc"/>
                    <pic:cNvPicPr>
                      <a:picLocks noChangeAspect="1"/>
                    </pic:cNvPicPr>
                  </pic:nvPicPr>
                  <pic:blipFill>
                    <a:blip r:embed="rId10"/>
                    <a:stretch>
                      <a:fillRect/>
                    </a:stretch>
                  </pic:blipFill>
                  <pic:spPr>
                    <a:xfrm>
                      <a:off x="0" y="0"/>
                      <a:ext cx="1570355" cy="1612265"/>
                    </a:xfrm>
                    <a:prstGeom prst="rect">
                      <a:avLst/>
                    </a:prstGeom>
                  </pic:spPr>
                </pic:pic>
              </a:graphicData>
            </a:graphic>
          </wp:inline>
        </w:drawing>
      </w:r>
    </w:p>
    <w:p w14:paraId="3A10678A">
      <w:pPr>
        <w:spacing w:line="360" w:lineRule="auto"/>
        <w:ind w:firstLine="482"/>
        <w:jc w:val="left"/>
        <w:rPr>
          <w:rFonts w:hint="eastAsia" w:ascii="宋体" w:hAnsi="宋体" w:eastAsia="宋体" w:cs="宋体"/>
          <w:color w:val="auto"/>
          <w:sz w:val="21"/>
          <w:szCs w:val="21"/>
        </w:rPr>
      </w:pPr>
      <w:r>
        <w:rPr>
          <w:rFonts w:hint="eastAsia" w:ascii="宋体" w:hAnsi="宋体" w:eastAsia="宋体" w:cs="宋体"/>
          <w:color w:val="auto"/>
          <w:sz w:val="21"/>
          <w:szCs w:val="21"/>
        </w:rPr>
        <w:t>2.安全质量规范：</w:t>
      </w:r>
    </w:p>
    <w:p w14:paraId="72653EAF">
      <w:pPr>
        <w:spacing w:line="360" w:lineRule="auto"/>
        <w:ind w:firstLine="482"/>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安全质量规范：校服实行“明标识”制度，具备成衣合格标识，符合国家质量标准，确保无毒、无害、舒适、耐用。招标文件和合同必须标明执行标准，安全与质量应符合</w:t>
      </w:r>
      <w:r>
        <w:rPr>
          <w:rFonts w:hint="eastAsia" w:ascii="宋体" w:hAnsi="宋体" w:eastAsia="宋体" w:cs="宋体"/>
          <w:bCs/>
          <w:color w:val="000000" w:themeColor="text1"/>
          <w:sz w:val="21"/>
          <w:szCs w:val="21"/>
          <w:highlight w:val="none"/>
          <w14:textFill>
            <w14:solidFill>
              <w14:schemeClr w14:val="tx1"/>
            </w14:solidFill>
          </w14:textFill>
        </w:rPr>
        <w:t>GB18401-2010</w:t>
      </w:r>
      <w:r>
        <w:rPr>
          <w:rFonts w:hint="eastAsia" w:ascii="宋体" w:hAnsi="宋体" w:eastAsia="宋体" w:cs="宋体"/>
          <w:color w:val="000000" w:themeColor="text1"/>
          <w:spacing w:val="-6"/>
          <w:sz w:val="21"/>
          <w:szCs w:val="21"/>
          <w:highlight w:val="none"/>
          <w14:textFill>
            <w14:solidFill>
              <w14:schemeClr w14:val="tx1"/>
            </w14:solidFill>
          </w14:textFill>
        </w:rPr>
        <w:t>《国家纺织产品基本安全技术规范》、</w:t>
      </w:r>
      <w:r>
        <w:rPr>
          <w:rFonts w:hint="eastAsia" w:ascii="宋体" w:hAnsi="宋体" w:eastAsia="宋体" w:cs="宋体"/>
          <w:bCs/>
          <w:color w:val="000000" w:themeColor="text1"/>
          <w:sz w:val="21"/>
          <w:szCs w:val="21"/>
          <w:highlight w:val="none"/>
          <w14:textFill>
            <w14:solidFill>
              <w14:schemeClr w14:val="tx1"/>
            </w14:solidFill>
          </w14:textFill>
        </w:rPr>
        <w:t>GB31701-2015</w:t>
      </w:r>
      <w:r>
        <w:rPr>
          <w:rFonts w:hint="eastAsia" w:ascii="宋体" w:hAnsi="宋体" w:eastAsia="宋体" w:cs="宋体"/>
          <w:color w:val="000000" w:themeColor="text1"/>
          <w:spacing w:val="-6"/>
          <w:sz w:val="21"/>
          <w:szCs w:val="21"/>
          <w:highlight w:val="none"/>
          <w14:textFill>
            <w14:solidFill>
              <w14:schemeClr w14:val="tx1"/>
            </w14:solidFill>
          </w14:textFill>
        </w:rPr>
        <w:t>《婴幼儿及儿童纺织产品安全技术规范》、</w:t>
      </w:r>
      <w:r>
        <w:rPr>
          <w:rFonts w:hint="eastAsia" w:ascii="宋体" w:hAnsi="宋体" w:eastAsia="宋体" w:cs="宋体"/>
          <w:bCs/>
          <w:color w:val="000000" w:themeColor="text1"/>
          <w:sz w:val="21"/>
          <w:szCs w:val="21"/>
          <w:highlight w:val="none"/>
          <w14:textFill>
            <w14:solidFill>
              <w14:schemeClr w14:val="tx1"/>
            </w14:solidFill>
          </w14:textFill>
        </w:rPr>
        <w:t>GB/T31888-2015</w:t>
      </w:r>
      <w:r>
        <w:rPr>
          <w:rFonts w:hint="eastAsia" w:ascii="宋体" w:hAnsi="宋体" w:eastAsia="宋体" w:cs="宋体"/>
          <w:color w:val="000000" w:themeColor="text1"/>
          <w:spacing w:val="-6"/>
          <w:sz w:val="21"/>
          <w:szCs w:val="21"/>
          <w:highlight w:val="none"/>
          <w14:textFill>
            <w14:solidFill>
              <w14:schemeClr w14:val="tx1"/>
            </w14:solidFill>
          </w14:textFill>
        </w:rPr>
        <w:t>《中小学生校服》等国家标准。</w:t>
      </w:r>
      <w:r>
        <w:rPr>
          <w:rFonts w:hint="eastAsia" w:ascii="宋体" w:hAnsi="宋体" w:eastAsia="宋体" w:cs="宋体"/>
          <w:color w:val="000000" w:themeColor="text1"/>
          <w:sz w:val="21"/>
          <w:szCs w:val="21"/>
          <w:highlight w:val="none"/>
          <w14:textFill>
            <w14:solidFill>
              <w14:schemeClr w14:val="tx1"/>
            </w14:solidFill>
          </w14:textFill>
        </w:rPr>
        <w:t>提供</w:t>
      </w:r>
      <w:r>
        <w:rPr>
          <w:rFonts w:hint="eastAsia" w:ascii="宋体" w:hAnsi="宋体" w:eastAsia="宋体" w:cs="宋体"/>
          <w:color w:val="000000" w:themeColor="text1"/>
          <w:sz w:val="21"/>
          <w:szCs w:val="21"/>
          <w:highlight w:val="none"/>
          <w:lang w:val="en-US" w:eastAsia="zh-CN"/>
          <w14:textFill>
            <w14:solidFill>
              <w14:schemeClr w14:val="tx1"/>
            </w14:solidFill>
          </w14:textFill>
        </w:rPr>
        <w:t>由省、直辖市及以上“技术监督部门依法授权的服装质检部门”</w:t>
      </w:r>
      <w:r>
        <w:rPr>
          <w:rFonts w:hint="eastAsia" w:ascii="宋体" w:hAnsi="宋体" w:eastAsia="宋体" w:cs="宋体"/>
          <w:color w:val="000000" w:themeColor="text1"/>
          <w:sz w:val="21"/>
          <w:szCs w:val="21"/>
          <w:highlight w:val="none"/>
          <w14:textFill>
            <w14:solidFill>
              <w14:schemeClr w14:val="tx1"/>
            </w14:solidFill>
          </w14:textFill>
        </w:rPr>
        <w:t>出具的合格检测报告。</w:t>
      </w:r>
    </w:p>
    <w:p w14:paraId="5513DFAC">
      <w:pPr>
        <w:spacing w:line="360" w:lineRule="auto"/>
        <w:ind w:firstLine="482"/>
        <w:jc w:val="left"/>
        <w:rPr>
          <w:rFonts w:hint="eastAsia" w:ascii="宋体" w:hAnsi="宋体" w:eastAsia="宋体" w:cs="宋体"/>
          <w:color w:val="auto"/>
          <w:sz w:val="21"/>
          <w:szCs w:val="21"/>
        </w:rPr>
      </w:pPr>
      <w:r>
        <w:rPr>
          <w:rFonts w:hint="eastAsia" w:ascii="宋体" w:hAnsi="宋体" w:eastAsia="宋体" w:cs="宋体"/>
          <w:color w:val="auto"/>
          <w:sz w:val="21"/>
          <w:szCs w:val="21"/>
        </w:rPr>
        <w:t>面料应选择吸湿、透气、柔软、耐磨的环保材料。冬季校服应注重保暖，夏季校服应注重轻薄透气。</w:t>
      </w:r>
    </w:p>
    <w:p w14:paraId="66E99D2B">
      <w:pPr>
        <w:spacing w:line="360" w:lineRule="auto"/>
        <w:ind w:firstLine="482"/>
        <w:jc w:val="left"/>
        <w:rPr>
          <w:rFonts w:hint="eastAsia" w:ascii="宋体" w:hAnsi="宋体" w:eastAsia="宋体" w:cs="宋体"/>
          <w:color w:val="auto"/>
          <w:sz w:val="21"/>
          <w:szCs w:val="21"/>
        </w:rPr>
      </w:pPr>
      <w:r>
        <w:rPr>
          <w:rFonts w:hint="eastAsia" w:ascii="宋体" w:hAnsi="宋体" w:eastAsia="宋体" w:cs="宋体"/>
          <w:color w:val="auto"/>
          <w:sz w:val="21"/>
          <w:szCs w:val="21"/>
        </w:rPr>
        <w:t>缝线牢固，扣件、拉链质量可靠，多次洗涤后不易变形、褪色。</w:t>
      </w:r>
    </w:p>
    <w:p w14:paraId="65107691">
      <w:pPr>
        <w:spacing w:line="360" w:lineRule="auto"/>
        <w:ind w:firstLine="482"/>
        <w:jc w:val="left"/>
        <w:rPr>
          <w:rFonts w:hint="eastAsia" w:ascii="宋体" w:hAnsi="宋体" w:eastAsia="宋体" w:cs="宋体"/>
          <w:color w:val="auto"/>
          <w:sz w:val="21"/>
          <w:szCs w:val="21"/>
        </w:rPr>
      </w:pPr>
      <w:r>
        <w:rPr>
          <w:rFonts w:hint="eastAsia" w:ascii="宋体" w:hAnsi="宋体" w:eastAsia="宋体" w:cs="宋体"/>
          <w:color w:val="auto"/>
          <w:sz w:val="21"/>
          <w:szCs w:val="21"/>
        </w:rPr>
        <w:t>款式简洁大方，体现学校文化元素；设计符合学生身体发育特点，便于运动；考虑反光条等安全设计。</w:t>
      </w:r>
    </w:p>
    <w:p w14:paraId="492CA64D">
      <w:pPr>
        <w:spacing w:before="200" w:after="100"/>
        <w:jc w:val="left"/>
        <w:outlineLvl w:val="1"/>
        <w:rPr>
          <w:rFonts w:ascii="楷体" w:hAnsi="宋体" w:eastAsia="楷体" w:cs="宋体"/>
          <w:color w:val="auto"/>
          <w:sz w:val="32"/>
        </w:rPr>
      </w:pPr>
      <w:r>
        <w:rPr>
          <w:rFonts w:hint="eastAsia" w:ascii="楷体" w:hAnsi="宋体" w:eastAsia="楷体" w:cs="宋体"/>
          <w:color w:val="auto"/>
          <w:sz w:val="32"/>
        </w:rPr>
        <w:t>（四）尺码与适配性</w:t>
      </w:r>
    </w:p>
    <w:p w14:paraId="6EE58A04">
      <w:pPr>
        <w:spacing w:line="360" w:lineRule="auto"/>
        <w:ind w:firstLine="482"/>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1.尺码范围：覆盖</w:t>
      </w:r>
      <w:r>
        <w:rPr>
          <w:rFonts w:hint="eastAsia" w:ascii="宋体" w:hAnsi="宋体" w:eastAsia="宋体" w:cs="宋体"/>
          <w:color w:val="000000" w:themeColor="text1"/>
          <w:sz w:val="21"/>
          <w:szCs w:val="21"/>
          <w:highlight w:val="none"/>
          <w:lang w:val="en-US" w:eastAsia="zh-CN"/>
          <w14:textFill>
            <w14:solidFill>
              <w14:schemeClr w14:val="tx1"/>
            </w14:solidFill>
          </w14:textFill>
        </w:rPr>
        <w:t>初中</w:t>
      </w:r>
      <w:r>
        <w:rPr>
          <w:rFonts w:hint="eastAsia" w:ascii="宋体" w:hAnsi="宋体" w:eastAsia="宋体" w:cs="宋体"/>
          <w:color w:val="000000" w:themeColor="text1"/>
          <w:sz w:val="21"/>
          <w:szCs w:val="21"/>
          <w:highlight w:val="none"/>
          <w14:textFill>
            <w14:solidFill>
              <w14:schemeClr w14:val="tx1"/>
            </w14:solidFill>
          </w14:textFill>
        </w:rPr>
        <w:t>2026级学生各类体型，提供B1</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0-B1</w:t>
      </w: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0六个标准尺码，同时可根据学生身高、体重细分尺码区间</w:t>
      </w:r>
      <w:r>
        <w:rPr>
          <w:rFonts w:hint="eastAsia" w:ascii="宋体" w:hAnsi="宋体" w:eastAsia="宋体" w:cs="宋体"/>
          <w:bCs/>
          <w:color w:val="000000" w:themeColor="text1"/>
          <w:sz w:val="21"/>
          <w:szCs w:val="21"/>
          <w:highlight w:val="none"/>
          <w14:textFill>
            <w14:solidFill>
              <w14:schemeClr w14:val="tx1"/>
            </w14:solidFill>
          </w14:textFill>
        </w:rPr>
        <w:t>（如1</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Cs/>
          <w:color w:val="000000" w:themeColor="text1"/>
          <w:sz w:val="21"/>
          <w:szCs w:val="21"/>
          <w:highlight w:val="none"/>
          <w14:textFill>
            <w14:solidFill>
              <w14:schemeClr w14:val="tx1"/>
            </w14:solidFill>
          </w14:textFill>
        </w:rPr>
        <w:t>0cm、1</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bCs/>
          <w:color w:val="000000" w:themeColor="text1"/>
          <w:sz w:val="21"/>
          <w:szCs w:val="21"/>
          <w:highlight w:val="none"/>
          <w14:textFill>
            <w14:solidFill>
              <w14:schemeClr w14:val="tx1"/>
            </w14:solidFill>
          </w14:textFill>
        </w:rPr>
        <w:t>cm、1</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Cs/>
          <w:color w:val="000000" w:themeColor="text1"/>
          <w:sz w:val="21"/>
          <w:szCs w:val="21"/>
          <w:highlight w:val="none"/>
          <w14:textFill>
            <w14:solidFill>
              <w14:schemeClr w14:val="tx1"/>
            </w14:solidFill>
          </w14:textFill>
        </w:rPr>
        <w:t>0cm、1</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Cs/>
          <w:color w:val="000000" w:themeColor="text1"/>
          <w:sz w:val="21"/>
          <w:szCs w:val="21"/>
          <w:highlight w:val="none"/>
          <w14:textFill>
            <w14:solidFill>
              <w14:schemeClr w14:val="tx1"/>
            </w14:solidFill>
          </w14:textFill>
        </w:rPr>
        <w:t>0cm、1</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Cs/>
          <w:color w:val="000000" w:themeColor="text1"/>
          <w:sz w:val="21"/>
          <w:szCs w:val="21"/>
          <w:highlight w:val="none"/>
          <w14:textFill>
            <w14:solidFill>
              <w14:schemeClr w14:val="tx1"/>
            </w14:solidFill>
          </w14:textFill>
        </w:rPr>
        <w:t>0cm、1</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7</w:t>
      </w:r>
      <w:r>
        <w:rPr>
          <w:rFonts w:hint="eastAsia" w:ascii="宋体" w:hAnsi="宋体" w:eastAsia="宋体" w:cs="宋体"/>
          <w:bCs/>
          <w:color w:val="000000" w:themeColor="text1"/>
          <w:sz w:val="21"/>
          <w:szCs w:val="21"/>
          <w:highlight w:val="none"/>
          <w14:textFill>
            <w14:solidFill>
              <w14:schemeClr w14:val="tx1"/>
            </w14:solidFill>
          </w14:textFill>
        </w:rPr>
        <w:t>0cm对应尺码）</w:t>
      </w:r>
      <w:r>
        <w:rPr>
          <w:rFonts w:hint="eastAsia" w:ascii="宋体" w:hAnsi="宋体" w:eastAsia="宋体" w:cs="宋体"/>
          <w:color w:val="000000" w:themeColor="text1"/>
          <w:sz w:val="21"/>
          <w:szCs w:val="21"/>
          <w:highlight w:val="none"/>
          <w14:textFill>
            <w14:solidFill>
              <w14:schemeClr w14:val="tx1"/>
            </w14:solidFill>
          </w14:textFill>
        </w:rPr>
        <w:t>，或按通用码（XS、S、M、L、XL、XXL）细分，并提供详细的尺码对照表（身高、胸围、腰围、裤长等），确保每位学生都能买到合身的校服。</w:t>
      </w:r>
    </w:p>
    <w:p w14:paraId="66703682">
      <w:pPr>
        <w:spacing w:line="360" w:lineRule="auto"/>
        <w:ind w:firstLine="482"/>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2.定制服务：针对肥胖、过瘦等特殊体型学生，提供专属定制选项，由家长提交学生详细身高、体重、三围等数据，供应商按需定制，保障特殊体型学生的穿着舒适度。</w:t>
      </w:r>
    </w:p>
    <w:p w14:paraId="1D466281">
      <w:pPr>
        <w:spacing w:before="200" w:after="100"/>
        <w:jc w:val="left"/>
        <w:outlineLvl w:val="1"/>
        <w:rPr>
          <w:rFonts w:ascii="楷体" w:hAnsi="宋体" w:eastAsia="楷体" w:cs="宋体"/>
          <w:color w:val="000000" w:themeColor="text1"/>
          <w:sz w:val="32"/>
          <w:highlight w:val="none"/>
          <w14:textFill>
            <w14:solidFill>
              <w14:schemeClr w14:val="tx1"/>
            </w14:solidFill>
          </w14:textFill>
        </w:rPr>
      </w:pPr>
      <w:r>
        <w:rPr>
          <w:rFonts w:hint="eastAsia" w:ascii="楷体" w:hAnsi="宋体" w:eastAsia="楷体" w:cs="宋体"/>
          <w:color w:val="000000" w:themeColor="text1"/>
          <w:sz w:val="32"/>
          <w:highlight w:val="none"/>
          <w14:textFill>
            <w14:solidFill>
              <w14:schemeClr w14:val="tx1"/>
            </w14:solidFill>
          </w14:textFill>
        </w:rPr>
        <w:t>（</w:t>
      </w:r>
      <w:r>
        <w:rPr>
          <w:rFonts w:hint="eastAsia" w:ascii="楷体" w:hAnsi="宋体" w:eastAsia="楷体" w:cs="宋体"/>
          <w:color w:val="000000" w:themeColor="text1"/>
          <w:sz w:val="32"/>
          <w:highlight w:val="none"/>
          <w:lang w:val="en-US" w:eastAsia="zh-CN"/>
          <w14:textFill>
            <w14:solidFill>
              <w14:schemeClr w14:val="tx1"/>
            </w14:solidFill>
          </w14:textFill>
        </w:rPr>
        <w:t>五</w:t>
      </w:r>
      <w:r>
        <w:rPr>
          <w:rFonts w:hint="eastAsia" w:ascii="楷体" w:hAnsi="宋体" w:eastAsia="楷体" w:cs="宋体"/>
          <w:color w:val="000000" w:themeColor="text1"/>
          <w:sz w:val="32"/>
          <w:highlight w:val="none"/>
          <w14:textFill>
            <w14:solidFill>
              <w14:schemeClr w14:val="tx1"/>
            </w14:solidFill>
          </w14:textFill>
        </w:rPr>
        <w:t>）包装及标识</w:t>
      </w:r>
    </w:p>
    <w:p w14:paraId="492FFC9A">
      <w:pPr>
        <w:spacing w:line="360" w:lineRule="auto"/>
        <w:ind w:firstLine="482"/>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1.包装要求：每件校服使用透明袋独立包装，包装需牢固、防尘、防潮，避免运输过程中受损。包装标签需清晰注明校服尺码、</w:t>
      </w:r>
      <w:r>
        <w:rPr>
          <w:rFonts w:hint="eastAsia" w:ascii="宋体" w:hAnsi="宋体" w:eastAsia="宋体" w:cs="宋体"/>
          <w:color w:val="000000" w:themeColor="text1"/>
          <w:sz w:val="21"/>
          <w:szCs w:val="21"/>
          <w:highlight w:val="none"/>
          <w:lang w:val="en-US" w:eastAsia="zh-CN"/>
          <w14:textFill>
            <w14:solidFill>
              <w14:schemeClr w14:val="tx1"/>
            </w14:solidFill>
          </w14:textFill>
        </w:rPr>
        <w:t>款式</w:t>
      </w:r>
      <w:r>
        <w:rPr>
          <w:rFonts w:hint="eastAsia" w:ascii="宋体" w:hAnsi="宋体" w:eastAsia="宋体" w:cs="宋体"/>
          <w:color w:val="000000" w:themeColor="text1"/>
          <w:sz w:val="21"/>
          <w:szCs w:val="21"/>
          <w:highlight w:val="none"/>
          <w14:textFill>
            <w14:solidFill>
              <w14:schemeClr w14:val="tx1"/>
            </w14:solidFill>
          </w14:textFill>
        </w:rPr>
        <w:t>（如“夏季</w:t>
      </w:r>
      <w:r>
        <w:rPr>
          <w:rFonts w:hint="eastAsia" w:ascii="宋体" w:hAnsi="宋体" w:eastAsia="宋体" w:cs="宋体"/>
          <w:color w:val="000000" w:themeColor="text1"/>
          <w:sz w:val="21"/>
          <w:szCs w:val="21"/>
          <w:highlight w:val="none"/>
          <w:lang w:val="en-US" w:eastAsia="zh-CN"/>
          <w14:textFill>
            <w14:solidFill>
              <w14:schemeClr w14:val="tx1"/>
            </w14:solidFill>
          </w14:textFill>
        </w:rPr>
        <w:t>校服长裤</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165/74B</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w:t>
      </w:r>
    </w:p>
    <w:p w14:paraId="4818CFA4">
      <w:pPr>
        <w:spacing w:line="360" w:lineRule="auto"/>
        <w:ind w:firstLine="482"/>
        <w:jc w:val="left"/>
        <w:rPr>
          <w:rFonts w:hint="eastAsia" w:ascii="宋体" w:hAnsi="宋体" w:eastAsia="宋体" w:cs="宋体"/>
          <w:color w:val="auto"/>
          <w:sz w:val="21"/>
          <w:szCs w:val="21"/>
        </w:rPr>
      </w:pP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eastAsia="ja-JP"/>
          <w14:textFill>
            <w14:solidFill>
              <w14:schemeClr w14:val="tx1"/>
            </w14:solidFill>
          </w14:textFill>
        </w:rPr>
        <w:t>标识</w:t>
      </w:r>
      <w:r>
        <w:rPr>
          <w:rFonts w:hint="eastAsia" w:ascii="宋体" w:hAnsi="宋体" w:eastAsia="宋体" w:cs="宋体"/>
          <w:color w:val="000000" w:themeColor="text1"/>
          <w:sz w:val="21"/>
          <w:szCs w:val="21"/>
          <w:highlight w:val="none"/>
          <w14:textFill>
            <w14:solidFill>
              <w14:schemeClr w14:val="tx1"/>
            </w14:solidFill>
          </w14:textFill>
        </w:rPr>
        <w:t>要求：</w:t>
      </w:r>
      <w:r>
        <w:rPr>
          <w:rFonts w:hint="eastAsia" w:ascii="宋体" w:hAnsi="宋体" w:eastAsia="宋体" w:cs="宋体"/>
          <w:color w:val="000000" w:themeColor="text1"/>
          <w:sz w:val="21"/>
          <w:szCs w:val="21"/>
          <w:highlight w:val="none"/>
          <w:lang w:eastAsia="ja-JP"/>
          <w14:textFill>
            <w14:solidFill>
              <w14:schemeClr w14:val="tx1"/>
            </w14:solidFill>
          </w14:textFill>
        </w:rPr>
        <w:t>吊牌、耐久性标签等使用说明标识须符合</w:t>
      </w:r>
      <w:r>
        <w:rPr>
          <w:rFonts w:hint="eastAsia" w:ascii="宋体" w:hAnsi="宋体" w:eastAsia="宋体" w:cs="宋体"/>
          <w:color w:val="000000" w:themeColor="text1"/>
          <w:sz w:val="21"/>
          <w:szCs w:val="21"/>
          <w:highlight w:val="none"/>
          <w14:textFill>
            <w14:solidFill>
              <w14:schemeClr w14:val="tx1"/>
            </w14:solidFill>
          </w14:textFill>
        </w:rPr>
        <w:t>‌GB/T 5296.4-2012《消费品使用说明 第4部分：纺织品和服装》要求，校服的标签（吊牌和水洗标）上必须包含以下信</w:t>
      </w:r>
      <w:r>
        <w:rPr>
          <w:rFonts w:hint="eastAsia" w:ascii="宋体" w:hAnsi="宋体" w:eastAsia="宋体" w:cs="宋体"/>
          <w:color w:val="auto"/>
          <w:sz w:val="21"/>
          <w:szCs w:val="21"/>
        </w:rPr>
        <w:t>息：</w:t>
      </w:r>
    </w:p>
    <w:p w14:paraId="57E6EF0B">
      <w:pPr>
        <w:spacing w:line="360" w:lineRule="auto"/>
        <w:ind w:firstLine="482"/>
        <w:jc w:val="left"/>
        <w:rPr>
          <w:rFonts w:hint="eastAsia" w:ascii="宋体" w:hAnsi="宋体" w:eastAsia="宋体" w:cs="宋体"/>
          <w:color w:val="auto"/>
          <w:sz w:val="21"/>
          <w:szCs w:val="21"/>
        </w:rPr>
      </w:pPr>
      <w:r>
        <w:rPr>
          <w:rFonts w:hint="eastAsia" w:ascii="宋体" w:hAnsi="宋体" w:eastAsia="宋体" w:cs="宋体"/>
          <w:color w:val="auto"/>
          <w:sz w:val="21"/>
          <w:szCs w:val="21"/>
        </w:rPr>
        <w:t>a.制造商名称和地址；</w:t>
      </w:r>
    </w:p>
    <w:p w14:paraId="711CBAD7">
      <w:pPr>
        <w:spacing w:line="360" w:lineRule="auto"/>
        <w:ind w:firstLine="482"/>
        <w:jc w:val="left"/>
        <w:rPr>
          <w:rFonts w:hint="eastAsia" w:ascii="宋体" w:hAnsi="宋体" w:eastAsia="宋体" w:cs="宋体"/>
          <w:color w:val="auto"/>
          <w:sz w:val="21"/>
          <w:szCs w:val="21"/>
        </w:rPr>
      </w:pPr>
      <w:r>
        <w:rPr>
          <w:rFonts w:hint="eastAsia" w:ascii="宋体" w:hAnsi="宋体" w:eastAsia="宋体" w:cs="宋体"/>
          <w:color w:val="auto"/>
          <w:sz w:val="21"/>
          <w:szCs w:val="21"/>
        </w:rPr>
        <w:t>b.产品名称；</w:t>
      </w:r>
    </w:p>
    <w:p w14:paraId="3BE1B3BE">
      <w:pPr>
        <w:spacing w:line="360" w:lineRule="auto"/>
        <w:ind w:firstLine="482"/>
        <w:jc w:val="left"/>
        <w:rPr>
          <w:rFonts w:hint="eastAsia" w:ascii="宋体" w:hAnsi="宋体" w:eastAsia="宋体" w:cs="宋体"/>
          <w:color w:val="auto"/>
          <w:sz w:val="21"/>
          <w:szCs w:val="21"/>
        </w:rPr>
      </w:pPr>
      <w:r>
        <w:rPr>
          <w:rFonts w:hint="eastAsia" w:ascii="宋体" w:hAnsi="宋体" w:eastAsia="宋体" w:cs="宋体"/>
          <w:color w:val="auto"/>
          <w:sz w:val="21"/>
          <w:szCs w:val="21"/>
        </w:rPr>
        <w:t>c.产品规格型号（耐久性）；</w:t>
      </w:r>
    </w:p>
    <w:p w14:paraId="4D6BB43A">
      <w:pPr>
        <w:spacing w:line="360" w:lineRule="auto"/>
        <w:ind w:firstLine="482"/>
        <w:jc w:val="left"/>
        <w:rPr>
          <w:rFonts w:hint="eastAsia" w:ascii="宋体" w:hAnsi="宋体" w:eastAsia="宋体" w:cs="宋体"/>
          <w:color w:val="auto"/>
          <w:sz w:val="21"/>
          <w:szCs w:val="21"/>
        </w:rPr>
      </w:pPr>
      <w:r>
        <w:rPr>
          <w:rFonts w:hint="eastAsia" w:ascii="宋体" w:hAnsi="宋体" w:eastAsia="宋体" w:cs="宋体"/>
          <w:color w:val="auto"/>
          <w:sz w:val="21"/>
          <w:szCs w:val="21"/>
        </w:rPr>
        <w:t>d.纤维成分及含量（耐久性）；</w:t>
      </w:r>
    </w:p>
    <w:p w14:paraId="6759788E">
      <w:pPr>
        <w:spacing w:line="360" w:lineRule="auto"/>
        <w:ind w:firstLine="482"/>
        <w:jc w:val="left"/>
        <w:rPr>
          <w:rFonts w:hint="eastAsia" w:ascii="宋体" w:hAnsi="宋体" w:eastAsia="宋体" w:cs="宋体"/>
          <w:color w:val="auto"/>
          <w:sz w:val="21"/>
          <w:szCs w:val="21"/>
        </w:rPr>
      </w:pPr>
      <w:r>
        <w:rPr>
          <w:rFonts w:hint="eastAsia" w:ascii="宋体" w:hAnsi="宋体" w:eastAsia="宋体" w:cs="宋体"/>
          <w:color w:val="auto"/>
          <w:sz w:val="21"/>
          <w:szCs w:val="21"/>
        </w:rPr>
        <w:t>e.洗涤维护方法（耐久性）；</w:t>
      </w:r>
    </w:p>
    <w:p w14:paraId="43AF9DE2">
      <w:pPr>
        <w:spacing w:line="360" w:lineRule="auto"/>
        <w:ind w:firstLine="482"/>
        <w:jc w:val="left"/>
        <w:rPr>
          <w:rFonts w:hint="eastAsia" w:ascii="宋体" w:hAnsi="宋体" w:eastAsia="宋体" w:cs="宋体"/>
          <w:color w:val="auto"/>
          <w:sz w:val="21"/>
          <w:szCs w:val="21"/>
        </w:rPr>
      </w:pPr>
      <w:r>
        <w:rPr>
          <w:rFonts w:hint="eastAsia" w:ascii="宋体" w:hAnsi="宋体" w:eastAsia="宋体" w:cs="宋体"/>
          <w:color w:val="auto"/>
          <w:sz w:val="21"/>
          <w:szCs w:val="21"/>
        </w:rPr>
        <w:t>f.产品标准编号。</w:t>
      </w:r>
    </w:p>
    <w:p w14:paraId="1C4A39FC">
      <w:pPr>
        <w:spacing w:line="360" w:lineRule="auto"/>
        <w:ind w:firstLine="482"/>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g.基本安全技术要求类别</w:t>
      </w:r>
    </w:p>
    <w:p w14:paraId="3B7A9614">
      <w:pPr>
        <w:spacing w:line="360" w:lineRule="auto"/>
        <w:ind w:firstLine="482"/>
        <w:jc w:val="left"/>
        <w:rPr>
          <w:rFonts w:hint="eastAsia" w:ascii="宋体" w:hAnsi="宋体" w:eastAsia="宋体" w:cs="宋体"/>
          <w:b/>
          <w:bCs/>
          <w:color w:val="auto"/>
          <w:sz w:val="21"/>
          <w:szCs w:val="21"/>
        </w:rPr>
      </w:pPr>
      <w:r>
        <w:rPr>
          <w:rFonts w:hint="eastAsia" w:ascii="宋体" w:hAnsi="宋体" w:eastAsia="宋体" w:cs="宋体"/>
          <w:color w:val="auto"/>
          <w:sz w:val="21"/>
          <w:szCs w:val="21"/>
        </w:rPr>
        <w:t>校服产品耐久性标签放于侧缝处，不允许在衣领处缝制任何标签。</w:t>
      </w:r>
    </w:p>
    <w:p w14:paraId="17BBEC9E">
      <w:pPr>
        <w:spacing w:before="200" w:after="100"/>
        <w:jc w:val="left"/>
        <w:outlineLvl w:val="1"/>
        <w:rPr>
          <w:rFonts w:ascii="楷体" w:hAnsi="宋体" w:eastAsia="楷体" w:cs="宋体"/>
          <w:color w:val="auto"/>
          <w:sz w:val="32"/>
        </w:rPr>
      </w:pPr>
      <w:r>
        <w:rPr>
          <w:rFonts w:hint="eastAsia" w:ascii="楷体" w:hAnsi="宋体" w:eastAsia="楷体" w:cs="宋体"/>
          <w:color w:val="auto"/>
          <w:sz w:val="32"/>
        </w:rPr>
        <w:t>（</w:t>
      </w:r>
      <w:r>
        <w:rPr>
          <w:rFonts w:hint="eastAsia" w:ascii="楷体" w:hAnsi="宋体" w:eastAsia="楷体" w:cs="宋体"/>
          <w:color w:val="auto"/>
          <w:sz w:val="32"/>
          <w:lang w:val="en-US" w:eastAsia="zh-CN"/>
        </w:rPr>
        <w:t>六</w:t>
      </w:r>
      <w:r>
        <w:rPr>
          <w:rFonts w:hint="eastAsia" w:ascii="楷体" w:hAnsi="宋体" w:eastAsia="楷体" w:cs="宋体"/>
          <w:color w:val="auto"/>
          <w:sz w:val="32"/>
        </w:rPr>
        <w:t>）预算与报价</w:t>
      </w:r>
    </w:p>
    <w:p w14:paraId="7545D23B">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1.预算范围：本次校服采购总价</w:t>
      </w:r>
      <w:r>
        <w:rPr>
          <w:rFonts w:hint="eastAsia" w:ascii="仿宋" w:hAnsi="宋体" w:eastAsia="仿宋" w:cs="宋体"/>
          <w:color w:val="auto"/>
          <w:sz w:val="24"/>
          <w:highlight w:val="none"/>
          <w:lang w:val="en-US" w:eastAsia="zh-CN"/>
        </w:rPr>
        <w:t>696240</w:t>
      </w:r>
      <w:r>
        <w:rPr>
          <w:rFonts w:hint="eastAsia" w:ascii="仿宋" w:hAnsi="宋体" w:eastAsia="仿宋" w:cs="宋体"/>
          <w:color w:val="auto"/>
          <w:sz w:val="24"/>
          <w:highlight w:val="none"/>
        </w:rPr>
        <w:t>元（</w:t>
      </w:r>
      <w:r>
        <w:rPr>
          <w:rFonts w:hint="eastAsia" w:ascii="仿宋" w:hAnsi="宋体" w:eastAsia="仿宋" w:cs="宋体"/>
          <w:color w:val="auto"/>
          <w:sz w:val="24"/>
          <w:highlight w:val="none"/>
          <w:lang w:val="en-US" w:eastAsia="zh-CN"/>
        </w:rPr>
        <w:t>720</w:t>
      </w:r>
      <w:r>
        <w:rPr>
          <w:rFonts w:hint="eastAsia" w:ascii="仿宋" w:hAnsi="宋体" w:eastAsia="仿宋" w:cs="宋体"/>
          <w:color w:val="auto"/>
          <w:sz w:val="24"/>
          <w:highlight w:val="none"/>
        </w:rPr>
        <w:t>元×</w:t>
      </w:r>
      <w:r>
        <w:rPr>
          <w:rFonts w:hint="eastAsia" w:ascii="仿宋" w:hAnsi="宋体" w:eastAsia="仿宋" w:cs="宋体"/>
          <w:color w:val="auto"/>
          <w:sz w:val="24"/>
          <w:highlight w:val="none"/>
          <w:lang w:val="en-US" w:eastAsia="zh-CN"/>
        </w:rPr>
        <w:t>967</w:t>
      </w:r>
      <w:r>
        <w:rPr>
          <w:rFonts w:hint="eastAsia" w:ascii="仿宋" w:hAnsi="宋体" w:eastAsia="仿宋" w:cs="宋体"/>
          <w:color w:val="auto"/>
          <w:sz w:val="24"/>
          <w:highlight w:val="none"/>
        </w:rPr>
        <w:t>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t>最终按实结算。</w:t>
      </w:r>
    </w:p>
    <w:p w14:paraId="1448CE4B">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2.报价明细</w:t>
      </w:r>
      <w:r>
        <w:rPr>
          <w:rFonts w:hint="eastAsia" w:ascii="宋体" w:hAnsi="宋体" w:eastAsia="宋体" w:cs="宋体"/>
          <w:b/>
          <w:bCs/>
          <w:color w:val="auto"/>
          <w:sz w:val="21"/>
          <w:szCs w:val="21"/>
          <w:highlight w:val="none"/>
        </w:rPr>
        <w:t>（预估）</w:t>
      </w:r>
      <w:r>
        <w:rPr>
          <w:rFonts w:hint="eastAsia" w:ascii="宋体" w:hAnsi="宋体" w:eastAsia="宋体" w:cs="宋体"/>
          <w:color w:val="auto"/>
          <w:sz w:val="21"/>
          <w:szCs w:val="21"/>
          <w:highlight w:val="none"/>
        </w:rPr>
        <w:t>：</w:t>
      </w:r>
    </w:p>
    <w:tbl>
      <w:tblPr>
        <w:tblStyle w:val="12"/>
        <w:tblW w:w="8633" w:type="dxa"/>
        <w:tblInd w:w="-9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783"/>
        <w:gridCol w:w="1215"/>
        <w:gridCol w:w="1125"/>
        <w:gridCol w:w="1645"/>
        <w:gridCol w:w="1865"/>
      </w:tblGrid>
      <w:tr w14:paraId="01615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5" w:hRule="atLeast"/>
        </w:trPr>
        <w:tc>
          <w:tcPr>
            <w:tcW w:w="2783" w:type="dxa"/>
            <w:tcBorders>
              <w:left w:val="single" w:color="000000" w:sz="10" w:space="0"/>
              <w:right w:val="single" w:color="000000" w:sz="2" w:space="0"/>
            </w:tcBorders>
            <w:vAlign w:val="center"/>
          </w:tcPr>
          <w:p w14:paraId="0FC3469C">
            <w:pPr>
              <w:pStyle w:val="11"/>
              <w:spacing w:before="85" w:line="220" w:lineRule="auto"/>
              <w:jc w:val="center"/>
              <w:rPr>
                <w:rFonts w:hint="eastAsia" w:ascii="方正仿宋_GB2312" w:hAnsi="方正仿宋_GB2312" w:eastAsia="方正仿宋_GB2312" w:cs="方正仿宋_GB2312"/>
                <w:color w:val="auto"/>
                <w:highlight w:val="none"/>
              </w:rPr>
            </w:pPr>
            <w:r>
              <w:rPr>
                <w:rFonts w:hint="eastAsia" w:ascii="方正仿宋_GB2312" w:hAnsi="方正仿宋_GB2312" w:eastAsia="方正仿宋_GB2312" w:cs="方正仿宋_GB2312"/>
                <w:color w:val="auto"/>
                <w:spacing w:val="-2"/>
                <w:highlight w:val="none"/>
              </w:rPr>
              <w:t>校服类别</w:t>
            </w:r>
          </w:p>
        </w:tc>
        <w:tc>
          <w:tcPr>
            <w:tcW w:w="1215" w:type="dxa"/>
            <w:tcBorders>
              <w:left w:val="single" w:color="000000" w:sz="2" w:space="0"/>
              <w:right w:val="single" w:color="000000" w:sz="2" w:space="0"/>
            </w:tcBorders>
            <w:vAlign w:val="center"/>
          </w:tcPr>
          <w:p w14:paraId="2B9022F5">
            <w:pPr>
              <w:pStyle w:val="11"/>
              <w:spacing w:before="85" w:line="220" w:lineRule="auto"/>
              <w:jc w:val="center"/>
              <w:rPr>
                <w:rFonts w:hint="eastAsia" w:ascii="方正仿宋_GB2312" w:hAnsi="方正仿宋_GB2312" w:eastAsia="方正仿宋_GB2312" w:cs="方正仿宋_GB2312"/>
                <w:color w:val="auto"/>
                <w:highlight w:val="none"/>
              </w:rPr>
            </w:pPr>
            <w:r>
              <w:rPr>
                <w:rFonts w:hint="eastAsia" w:ascii="方正仿宋_GB2312" w:hAnsi="方正仿宋_GB2312" w:eastAsia="方正仿宋_GB2312" w:cs="方正仿宋_GB2312"/>
                <w:color w:val="auto"/>
                <w:spacing w:val="-6"/>
                <w:highlight w:val="none"/>
              </w:rPr>
              <w:t>单价限价（元）</w:t>
            </w:r>
          </w:p>
        </w:tc>
        <w:tc>
          <w:tcPr>
            <w:tcW w:w="1125" w:type="dxa"/>
            <w:tcBorders>
              <w:left w:val="single" w:color="000000" w:sz="2" w:space="0"/>
              <w:right w:val="single" w:color="000000" w:sz="2" w:space="0"/>
            </w:tcBorders>
            <w:vAlign w:val="center"/>
          </w:tcPr>
          <w:p w14:paraId="342497C9">
            <w:pPr>
              <w:pStyle w:val="11"/>
              <w:spacing w:before="85" w:line="218" w:lineRule="auto"/>
              <w:jc w:val="center"/>
              <w:rPr>
                <w:rFonts w:hint="eastAsia" w:ascii="方正仿宋_GB2312" w:hAnsi="方正仿宋_GB2312" w:eastAsia="方正仿宋_GB2312" w:cs="方正仿宋_GB2312"/>
                <w:color w:val="auto"/>
                <w:highlight w:val="none"/>
              </w:rPr>
            </w:pPr>
            <w:r>
              <w:rPr>
                <w:rFonts w:hint="eastAsia" w:ascii="方正仿宋_GB2312" w:hAnsi="方正仿宋_GB2312" w:eastAsia="方正仿宋_GB2312" w:cs="方正仿宋_GB2312"/>
                <w:color w:val="auto"/>
                <w:spacing w:val="-6"/>
                <w:highlight w:val="none"/>
              </w:rPr>
              <w:t>数量</w:t>
            </w:r>
          </w:p>
        </w:tc>
        <w:tc>
          <w:tcPr>
            <w:tcW w:w="1645" w:type="dxa"/>
            <w:tcBorders>
              <w:left w:val="single" w:color="000000" w:sz="2" w:space="0"/>
              <w:right w:val="single" w:color="000000" w:sz="2" w:space="0"/>
            </w:tcBorders>
            <w:vAlign w:val="center"/>
          </w:tcPr>
          <w:p w14:paraId="19CA9FC8">
            <w:pPr>
              <w:pStyle w:val="11"/>
              <w:spacing w:before="87" w:line="220" w:lineRule="auto"/>
              <w:jc w:val="center"/>
              <w:rPr>
                <w:rFonts w:hint="eastAsia" w:ascii="方正仿宋_GB2312" w:hAnsi="方正仿宋_GB2312" w:eastAsia="方正仿宋_GB2312" w:cs="方正仿宋_GB2312"/>
                <w:color w:val="auto"/>
                <w:highlight w:val="none"/>
              </w:rPr>
            </w:pPr>
            <w:r>
              <w:rPr>
                <w:rFonts w:hint="eastAsia" w:ascii="方正仿宋_GB2312" w:hAnsi="方正仿宋_GB2312" w:eastAsia="方正仿宋_GB2312" w:cs="方正仿宋_GB2312"/>
                <w:color w:val="auto"/>
                <w:spacing w:val="-2"/>
                <w:highlight w:val="none"/>
              </w:rPr>
              <w:t>合计金额（元）</w:t>
            </w:r>
          </w:p>
        </w:tc>
        <w:tc>
          <w:tcPr>
            <w:tcW w:w="1865" w:type="dxa"/>
            <w:tcBorders>
              <w:left w:val="single" w:color="000000" w:sz="2" w:space="0"/>
              <w:right w:val="single" w:color="000000" w:sz="10" w:space="0"/>
            </w:tcBorders>
            <w:vAlign w:val="center"/>
          </w:tcPr>
          <w:p w14:paraId="22D24AC1">
            <w:pPr>
              <w:pStyle w:val="11"/>
              <w:spacing w:before="85" w:line="219" w:lineRule="auto"/>
              <w:jc w:val="center"/>
              <w:rPr>
                <w:rFonts w:hint="eastAsia" w:ascii="方正仿宋_GB2312" w:hAnsi="方正仿宋_GB2312" w:eastAsia="方正仿宋_GB2312" w:cs="方正仿宋_GB2312"/>
                <w:color w:val="auto"/>
                <w:highlight w:val="none"/>
              </w:rPr>
            </w:pPr>
            <w:r>
              <w:rPr>
                <w:rFonts w:hint="eastAsia" w:ascii="方正仿宋_GB2312" w:hAnsi="方正仿宋_GB2312" w:eastAsia="方正仿宋_GB2312" w:cs="方正仿宋_GB2312"/>
                <w:color w:val="auto"/>
                <w:spacing w:val="-1"/>
                <w:highlight w:val="none"/>
              </w:rPr>
              <w:t>采购年级及学生数</w:t>
            </w:r>
          </w:p>
        </w:tc>
      </w:tr>
      <w:tr w14:paraId="4270A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14:paraId="0EF5EB75">
            <w:pPr>
              <w:jc w:val="center"/>
              <w:rPr>
                <w:rFonts w:hint="eastAsia" w:ascii="方正仿宋_GB2312" w:hAnsi="方正仿宋_GB2312" w:eastAsia="方正仿宋_GB2312" w:cs="方正仿宋_GB2312"/>
                <w:color w:val="auto"/>
                <w:sz w:val="24"/>
                <w:highlight w:val="none"/>
              </w:rPr>
            </w:pPr>
            <w:r>
              <w:rPr>
                <w:rFonts w:hint="eastAsia" w:ascii="方正仿宋_GB2312" w:hAnsi="方正仿宋_GB2312" w:eastAsia="方正仿宋_GB2312" w:cs="方正仿宋_GB2312"/>
                <w:color w:val="auto"/>
                <w:sz w:val="24"/>
                <w:highlight w:val="none"/>
              </w:rPr>
              <w:t>夏季男、女短袖T恤</w:t>
            </w:r>
          </w:p>
        </w:tc>
        <w:tc>
          <w:tcPr>
            <w:tcW w:w="1215" w:type="dxa"/>
            <w:tcBorders>
              <w:left w:val="single" w:color="000000" w:sz="2" w:space="0"/>
              <w:right w:val="single" w:color="000000" w:sz="2" w:space="0"/>
            </w:tcBorders>
            <w:vAlign w:val="center"/>
          </w:tcPr>
          <w:p w14:paraId="7ADA3985">
            <w:pPr>
              <w:jc w:val="center"/>
              <w:rPr>
                <w:rFonts w:hint="eastAsia" w:ascii="方正仿宋_GB2312" w:hAnsi="方正仿宋_GB2312" w:eastAsia="方正仿宋_GB2312" w:cs="方正仿宋_GB2312"/>
                <w:color w:val="auto"/>
                <w:sz w:val="24"/>
                <w:highlight w:val="none"/>
              </w:rPr>
            </w:pPr>
            <w:r>
              <w:rPr>
                <w:rFonts w:hint="eastAsia" w:ascii="方正仿宋_GB2312" w:hAnsi="方正仿宋_GB2312" w:eastAsia="方正仿宋_GB2312" w:cs="方正仿宋_GB2312"/>
                <w:color w:val="auto"/>
                <w:sz w:val="24"/>
                <w:highlight w:val="none"/>
                <w:lang w:val="en-US" w:eastAsia="zh-CN"/>
              </w:rPr>
              <w:t>60</w:t>
            </w:r>
          </w:p>
        </w:tc>
        <w:tc>
          <w:tcPr>
            <w:tcW w:w="1125" w:type="dxa"/>
            <w:tcBorders>
              <w:left w:val="single" w:color="000000" w:sz="2" w:space="0"/>
              <w:right w:val="single" w:color="000000" w:sz="2" w:space="0"/>
            </w:tcBorders>
            <w:vAlign w:val="center"/>
          </w:tcPr>
          <w:p w14:paraId="1C9E189E">
            <w:pPr>
              <w:jc w:val="center"/>
              <w:rPr>
                <w:rFonts w:hint="default" w:ascii="方正仿宋_GB2312" w:hAnsi="方正仿宋_GB2312" w:eastAsia="方正仿宋_GB2312" w:cs="方正仿宋_GB2312"/>
                <w:color w:val="auto"/>
                <w:sz w:val="24"/>
                <w:highlight w:val="none"/>
                <w:lang w:val="en-US" w:eastAsia="zh-CN"/>
              </w:rPr>
            </w:pPr>
            <w:r>
              <w:rPr>
                <w:rFonts w:hint="eastAsia" w:ascii="仿宋" w:hAnsi="宋体" w:eastAsia="仿宋" w:cs="宋体"/>
                <w:color w:val="auto"/>
                <w:sz w:val="24"/>
                <w:highlight w:val="none"/>
                <w:lang w:val="en-US" w:eastAsia="zh-CN"/>
              </w:rPr>
              <w:t>967</w:t>
            </w:r>
          </w:p>
        </w:tc>
        <w:tc>
          <w:tcPr>
            <w:tcW w:w="1645" w:type="dxa"/>
            <w:tcBorders>
              <w:left w:val="single" w:color="000000" w:sz="2" w:space="0"/>
              <w:right w:val="single" w:color="000000" w:sz="2" w:space="0"/>
            </w:tcBorders>
            <w:vAlign w:val="center"/>
          </w:tcPr>
          <w:p w14:paraId="48400AD1">
            <w:pPr>
              <w:jc w:val="center"/>
              <w:rPr>
                <w:rFonts w:hint="default" w:ascii="方正仿宋_GB2312" w:hAnsi="方正仿宋_GB2312" w:eastAsia="方正仿宋_GB2312" w:cs="方正仿宋_GB2312"/>
                <w:color w:val="auto"/>
                <w:sz w:val="24"/>
                <w:highlight w:val="none"/>
                <w:lang w:val="en-US" w:eastAsia="zh-CN"/>
              </w:rPr>
            </w:pPr>
            <w:r>
              <w:rPr>
                <w:rFonts w:hint="eastAsia" w:ascii="方正仿宋_GB2312" w:hAnsi="方正仿宋_GB2312" w:eastAsia="方正仿宋_GB2312" w:cs="方正仿宋_GB2312"/>
                <w:color w:val="auto"/>
                <w:sz w:val="24"/>
                <w:highlight w:val="none"/>
                <w:lang w:val="en-US" w:eastAsia="zh-CN"/>
              </w:rPr>
              <w:t>58020</w:t>
            </w:r>
          </w:p>
        </w:tc>
        <w:tc>
          <w:tcPr>
            <w:tcW w:w="1865" w:type="dxa"/>
            <w:vMerge w:val="restart"/>
            <w:tcBorders>
              <w:left w:val="single" w:color="000000" w:sz="2" w:space="0"/>
              <w:bottom w:val="nil"/>
              <w:right w:val="single" w:color="000000" w:sz="10" w:space="0"/>
            </w:tcBorders>
            <w:vAlign w:val="center"/>
          </w:tcPr>
          <w:p w14:paraId="5911592B">
            <w:pPr>
              <w:jc w:val="center"/>
              <w:rPr>
                <w:rFonts w:hint="eastAsia" w:ascii="方正仿宋_GB2312" w:hAnsi="方正仿宋_GB2312" w:eastAsia="方正仿宋_GB2312" w:cs="方正仿宋_GB2312"/>
                <w:color w:val="auto"/>
                <w:sz w:val="24"/>
                <w:highlight w:val="none"/>
              </w:rPr>
            </w:pPr>
            <w:r>
              <w:rPr>
                <w:rFonts w:hint="eastAsia" w:ascii="方正仿宋_GB2312" w:hAnsi="方正仿宋_GB2312" w:eastAsia="方正仿宋_GB2312" w:cs="方正仿宋_GB2312"/>
                <w:color w:val="auto"/>
                <w:sz w:val="24"/>
                <w:highlight w:val="none"/>
                <w:lang w:val="en-US" w:eastAsia="zh-CN"/>
              </w:rPr>
              <w:t>新初一</w:t>
            </w:r>
            <w:r>
              <w:rPr>
                <w:rFonts w:hint="eastAsia" w:ascii="仿宋" w:hAnsi="宋体" w:eastAsia="仿宋" w:cs="宋体"/>
                <w:color w:val="auto"/>
                <w:sz w:val="24"/>
                <w:highlight w:val="none"/>
                <w:lang w:val="en-US" w:eastAsia="zh-CN"/>
              </w:rPr>
              <w:t>967</w:t>
            </w:r>
            <w:r>
              <w:rPr>
                <w:rFonts w:hint="eastAsia" w:ascii="方正仿宋_GB2312" w:hAnsi="方正仿宋_GB2312" w:eastAsia="方正仿宋_GB2312" w:cs="方正仿宋_GB2312"/>
                <w:color w:val="auto"/>
                <w:sz w:val="24"/>
                <w:highlight w:val="none"/>
              </w:rPr>
              <w:t>人</w:t>
            </w:r>
          </w:p>
        </w:tc>
      </w:tr>
      <w:tr w14:paraId="503B2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14:paraId="027D3C17">
            <w:pPr>
              <w:jc w:val="center"/>
              <w:rPr>
                <w:rFonts w:hint="eastAsia" w:ascii="方正仿宋_GB2312" w:hAnsi="方正仿宋_GB2312" w:eastAsia="方正仿宋_GB2312" w:cs="方正仿宋_GB2312"/>
                <w:snapToGrid w:val="0"/>
                <w:color w:val="auto"/>
                <w:sz w:val="24"/>
                <w:highlight w:val="none"/>
              </w:rPr>
            </w:pPr>
            <w:r>
              <w:rPr>
                <w:rFonts w:hint="eastAsia" w:ascii="方正仿宋_GB2312" w:hAnsi="方正仿宋_GB2312" w:eastAsia="方正仿宋_GB2312" w:cs="方正仿宋_GB2312"/>
                <w:color w:val="auto"/>
                <w:sz w:val="24"/>
                <w:highlight w:val="none"/>
              </w:rPr>
              <w:t>夏季男生短裤（</w:t>
            </w:r>
            <w:r>
              <w:rPr>
                <w:rFonts w:hint="eastAsia" w:ascii="方正仿宋_GB2312" w:hAnsi="方正仿宋_GB2312" w:eastAsia="方正仿宋_GB2312" w:cs="方正仿宋_GB2312"/>
                <w:snapToGrid w:val="0"/>
                <w:color w:val="auto"/>
                <w:sz w:val="24"/>
                <w:highlight w:val="none"/>
              </w:rPr>
              <w:t>女生短裙</w:t>
            </w:r>
            <w:r>
              <w:rPr>
                <w:rFonts w:hint="eastAsia" w:ascii="方正仿宋_GB2312" w:hAnsi="方正仿宋_GB2312" w:eastAsia="方正仿宋_GB2312" w:cs="方正仿宋_GB2312"/>
                <w:color w:val="auto"/>
                <w:sz w:val="24"/>
                <w:highlight w:val="none"/>
              </w:rPr>
              <w:t>）</w:t>
            </w:r>
          </w:p>
        </w:tc>
        <w:tc>
          <w:tcPr>
            <w:tcW w:w="1215" w:type="dxa"/>
            <w:tcBorders>
              <w:left w:val="single" w:color="000000" w:sz="2" w:space="0"/>
              <w:right w:val="single" w:color="000000" w:sz="2" w:space="0"/>
            </w:tcBorders>
            <w:vAlign w:val="center"/>
          </w:tcPr>
          <w:p w14:paraId="20636B33">
            <w:pPr>
              <w:jc w:val="center"/>
              <w:rPr>
                <w:rFonts w:hint="eastAsia" w:ascii="方正仿宋_GB2312" w:hAnsi="方正仿宋_GB2312" w:eastAsia="方正仿宋_GB2312" w:cs="方正仿宋_GB2312"/>
                <w:color w:val="auto"/>
                <w:sz w:val="24"/>
                <w:highlight w:val="none"/>
              </w:rPr>
            </w:pPr>
            <w:r>
              <w:rPr>
                <w:rFonts w:hint="eastAsia" w:ascii="方正仿宋_GB2312" w:hAnsi="方正仿宋_GB2312" w:eastAsia="方正仿宋_GB2312" w:cs="方正仿宋_GB2312"/>
                <w:color w:val="auto"/>
                <w:sz w:val="24"/>
                <w:highlight w:val="none"/>
                <w:lang w:val="en-US" w:eastAsia="zh-CN"/>
              </w:rPr>
              <w:t>65</w:t>
            </w:r>
          </w:p>
        </w:tc>
        <w:tc>
          <w:tcPr>
            <w:tcW w:w="1125" w:type="dxa"/>
            <w:tcBorders>
              <w:left w:val="single" w:color="000000" w:sz="2" w:space="0"/>
              <w:right w:val="single" w:color="000000" w:sz="2" w:space="0"/>
            </w:tcBorders>
            <w:vAlign w:val="center"/>
          </w:tcPr>
          <w:p w14:paraId="54466EA3">
            <w:pPr>
              <w:jc w:val="center"/>
              <w:rPr>
                <w:rFonts w:hint="eastAsia" w:ascii="方正仿宋_GB2312" w:hAnsi="方正仿宋_GB2312" w:eastAsia="方正仿宋_GB2312" w:cs="方正仿宋_GB2312"/>
                <w:color w:val="auto"/>
                <w:sz w:val="24"/>
                <w:highlight w:val="none"/>
              </w:rPr>
            </w:pPr>
            <w:r>
              <w:rPr>
                <w:rFonts w:hint="eastAsia" w:ascii="仿宋" w:hAnsi="宋体" w:eastAsia="仿宋" w:cs="宋体"/>
                <w:color w:val="auto"/>
                <w:sz w:val="24"/>
                <w:highlight w:val="none"/>
                <w:lang w:val="en-US" w:eastAsia="zh-CN"/>
              </w:rPr>
              <w:t>967</w:t>
            </w:r>
          </w:p>
        </w:tc>
        <w:tc>
          <w:tcPr>
            <w:tcW w:w="1645" w:type="dxa"/>
            <w:tcBorders>
              <w:left w:val="single" w:color="000000" w:sz="2" w:space="0"/>
              <w:right w:val="single" w:color="000000" w:sz="2" w:space="0"/>
            </w:tcBorders>
            <w:vAlign w:val="center"/>
          </w:tcPr>
          <w:p w14:paraId="79B92027">
            <w:pPr>
              <w:jc w:val="center"/>
              <w:rPr>
                <w:rFonts w:hint="default" w:ascii="方正仿宋_GB2312" w:hAnsi="方正仿宋_GB2312" w:eastAsia="方正仿宋_GB2312" w:cs="方正仿宋_GB2312"/>
                <w:color w:val="auto"/>
                <w:sz w:val="24"/>
                <w:highlight w:val="none"/>
                <w:lang w:val="en-US" w:eastAsia="zh-CN"/>
              </w:rPr>
            </w:pPr>
            <w:r>
              <w:rPr>
                <w:rFonts w:hint="eastAsia" w:ascii="方正仿宋_GB2312" w:hAnsi="方正仿宋_GB2312" w:eastAsia="方正仿宋_GB2312" w:cs="方正仿宋_GB2312"/>
                <w:color w:val="auto"/>
                <w:sz w:val="24"/>
                <w:highlight w:val="none"/>
                <w:lang w:val="en-US" w:eastAsia="zh-CN"/>
              </w:rPr>
              <w:t>62855</w:t>
            </w:r>
          </w:p>
        </w:tc>
        <w:tc>
          <w:tcPr>
            <w:tcW w:w="1865" w:type="dxa"/>
            <w:vMerge w:val="continue"/>
            <w:tcBorders>
              <w:top w:val="nil"/>
              <w:left w:val="single" w:color="000000" w:sz="2" w:space="0"/>
              <w:bottom w:val="nil"/>
              <w:right w:val="single" w:color="000000" w:sz="10" w:space="0"/>
            </w:tcBorders>
            <w:vAlign w:val="center"/>
          </w:tcPr>
          <w:p w14:paraId="4AF6EC49">
            <w:pPr>
              <w:jc w:val="center"/>
              <w:rPr>
                <w:rFonts w:hint="eastAsia" w:ascii="方正仿宋_GB2312" w:hAnsi="方正仿宋_GB2312" w:eastAsia="方正仿宋_GB2312" w:cs="方正仿宋_GB2312"/>
                <w:color w:val="auto"/>
                <w:sz w:val="24"/>
                <w:highlight w:val="none"/>
              </w:rPr>
            </w:pPr>
          </w:p>
        </w:tc>
      </w:tr>
      <w:tr w14:paraId="6FCEC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14:paraId="0A38C8CB">
            <w:pPr>
              <w:jc w:val="center"/>
              <w:rPr>
                <w:rFonts w:hint="eastAsia" w:ascii="方正仿宋_GB2312" w:hAnsi="方正仿宋_GB2312" w:eastAsia="方正仿宋_GB2312" w:cs="方正仿宋_GB2312"/>
                <w:snapToGrid w:val="0"/>
                <w:color w:val="auto"/>
                <w:sz w:val="24"/>
                <w:highlight w:val="none"/>
                <w:lang w:eastAsia="en-US"/>
              </w:rPr>
            </w:pPr>
            <w:r>
              <w:rPr>
                <w:rFonts w:hint="eastAsia" w:ascii="方正仿宋_GB2312" w:hAnsi="方正仿宋_GB2312" w:eastAsia="方正仿宋_GB2312" w:cs="方正仿宋_GB2312"/>
                <w:snapToGrid w:val="0"/>
                <w:color w:val="auto"/>
                <w:sz w:val="24"/>
                <w:highlight w:val="none"/>
                <w:lang w:eastAsia="en-US"/>
              </w:rPr>
              <w:t>春秋</w:t>
            </w:r>
            <w:r>
              <w:rPr>
                <w:rFonts w:hint="eastAsia" w:ascii="方正仿宋_GB2312" w:hAnsi="方正仿宋_GB2312" w:eastAsia="方正仿宋_GB2312" w:cs="方正仿宋_GB2312"/>
                <w:snapToGrid w:val="0"/>
                <w:color w:val="auto"/>
                <w:sz w:val="24"/>
                <w:highlight w:val="none"/>
              </w:rPr>
              <w:t>男、女</w:t>
            </w:r>
            <w:r>
              <w:rPr>
                <w:rFonts w:hint="eastAsia" w:ascii="方正仿宋_GB2312" w:hAnsi="方正仿宋_GB2312" w:eastAsia="方正仿宋_GB2312" w:cs="方正仿宋_GB2312"/>
                <w:snapToGrid w:val="0"/>
                <w:color w:val="auto"/>
                <w:sz w:val="24"/>
                <w:highlight w:val="none"/>
                <w:lang w:eastAsia="en-US"/>
              </w:rPr>
              <w:t>运动上衣</w:t>
            </w:r>
          </w:p>
        </w:tc>
        <w:tc>
          <w:tcPr>
            <w:tcW w:w="1215" w:type="dxa"/>
            <w:tcBorders>
              <w:left w:val="single" w:color="000000" w:sz="2" w:space="0"/>
              <w:right w:val="single" w:color="000000" w:sz="2" w:space="0"/>
            </w:tcBorders>
            <w:vAlign w:val="center"/>
          </w:tcPr>
          <w:p w14:paraId="17AC9AE2">
            <w:pPr>
              <w:jc w:val="center"/>
              <w:rPr>
                <w:rFonts w:hint="eastAsia" w:ascii="方正仿宋_GB2312" w:hAnsi="方正仿宋_GB2312" w:eastAsia="方正仿宋_GB2312" w:cs="方正仿宋_GB2312"/>
                <w:color w:val="auto"/>
                <w:sz w:val="24"/>
                <w:highlight w:val="none"/>
              </w:rPr>
            </w:pPr>
            <w:r>
              <w:rPr>
                <w:rFonts w:hint="eastAsia" w:ascii="方正仿宋_GB2312" w:hAnsi="方正仿宋_GB2312" w:eastAsia="方正仿宋_GB2312" w:cs="方正仿宋_GB2312"/>
                <w:color w:val="auto"/>
                <w:sz w:val="24"/>
                <w:highlight w:val="none"/>
                <w:lang w:val="en-US" w:eastAsia="zh-CN"/>
              </w:rPr>
              <w:t>115</w:t>
            </w:r>
          </w:p>
        </w:tc>
        <w:tc>
          <w:tcPr>
            <w:tcW w:w="1125" w:type="dxa"/>
            <w:tcBorders>
              <w:left w:val="single" w:color="000000" w:sz="2" w:space="0"/>
              <w:right w:val="single" w:color="000000" w:sz="2" w:space="0"/>
            </w:tcBorders>
            <w:vAlign w:val="center"/>
          </w:tcPr>
          <w:p w14:paraId="6C024751">
            <w:pPr>
              <w:jc w:val="center"/>
              <w:rPr>
                <w:rFonts w:hint="eastAsia" w:ascii="方正仿宋_GB2312" w:hAnsi="方正仿宋_GB2312" w:eastAsia="方正仿宋_GB2312" w:cs="方正仿宋_GB2312"/>
                <w:color w:val="auto"/>
                <w:sz w:val="24"/>
                <w:highlight w:val="none"/>
              </w:rPr>
            </w:pPr>
            <w:r>
              <w:rPr>
                <w:rFonts w:hint="eastAsia" w:ascii="仿宋" w:hAnsi="宋体" w:eastAsia="仿宋" w:cs="宋体"/>
                <w:color w:val="auto"/>
                <w:sz w:val="24"/>
                <w:highlight w:val="none"/>
                <w:lang w:val="en-US" w:eastAsia="zh-CN"/>
              </w:rPr>
              <w:t>967</w:t>
            </w:r>
          </w:p>
        </w:tc>
        <w:tc>
          <w:tcPr>
            <w:tcW w:w="1645" w:type="dxa"/>
            <w:tcBorders>
              <w:left w:val="single" w:color="000000" w:sz="2" w:space="0"/>
              <w:right w:val="single" w:color="000000" w:sz="2" w:space="0"/>
            </w:tcBorders>
            <w:vAlign w:val="center"/>
          </w:tcPr>
          <w:p w14:paraId="06893168">
            <w:pPr>
              <w:jc w:val="center"/>
              <w:rPr>
                <w:rFonts w:hint="default" w:ascii="方正仿宋_GB2312" w:hAnsi="方正仿宋_GB2312" w:eastAsia="方正仿宋_GB2312" w:cs="方正仿宋_GB2312"/>
                <w:color w:val="auto"/>
                <w:sz w:val="24"/>
                <w:highlight w:val="none"/>
                <w:lang w:val="en-US" w:eastAsia="zh-CN"/>
              </w:rPr>
            </w:pPr>
            <w:r>
              <w:rPr>
                <w:rFonts w:hint="eastAsia" w:ascii="方正仿宋_GB2312" w:hAnsi="方正仿宋_GB2312" w:eastAsia="方正仿宋_GB2312" w:cs="方正仿宋_GB2312"/>
                <w:color w:val="auto"/>
                <w:sz w:val="24"/>
                <w:highlight w:val="none"/>
                <w:lang w:val="en-US" w:eastAsia="zh-CN"/>
              </w:rPr>
              <w:t>111205</w:t>
            </w:r>
          </w:p>
        </w:tc>
        <w:tc>
          <w:tcPr>
            <w:tcW w:w="1865" w:type="dxa"/>
            <w:vMerge w:val="continue"/>
            <w:tcBorders>
              <w:top w:val="nil"/>
              <w:left w:val="single" w:color="000000" w:sz="2" w:space="0"/>
              <w:bottom w:val="nil"/>
              <w:right w:val="single" w:color="000000" w:sz="10" w:space="0"/>
            </w:tcBorders>
            <w:vAlign w:val="center"/>
          </w:tcPr>
          <w:p w14:paraId="4B9C28FA">
            <w:pPr>
              <w:jc w:val="center"/>
              <w:rPr>
                <w:rFonts w:hint="eastAsia" w:ascii="方正仿宋_GB2312" w:hAnsi="方正仿宋_GB2312" w:eastAsia="方正仿宋_GB2312" w:cs="方正仿宋_GB2312"/>
                <w:color w:val="auto"/>
                <w:sz w:val="24"/>
                <w:highlight w:val="none"/>
              </w:rPr>
            </w:pPr>
          </w:p>
        </w:tc>
      </w:tr>
      <w:tr w14:paraId="42C58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14:paraId="0693AEB1">
            <w:pPr>
              <w:jc w:val="center"/>
              <w:rPr>
                <w:rFonts w:hint="eastAsia" w:ascii="方正仿宋_GB2312" w:hAnsi="方正仿宋_GB2312" w:eastAsia="方正仿宋_GB2312" w:cs="方正仿宋_GB2312"/>
                <w:snapToGrid w:val="0"/>
                <w:color w:val="auto"/>
                <w:sz w:val="24"/>
                <w:highlight w:val="none"/>
                <w:lang w:eastAsia="en-US"/>
              </w:rPr>
            </w:pPr>
            <w:r>
              <w:rPr>
                <w:rFonts w:hint="eastAsia" w:ascii="方正仿宋_GB2312" w:hAnsi="方正仿宋_GB2312" w:eastAsia="方正仿宋_GB2312" w:cs="方正仿宋_GB2312"/>
                <w:snapToGrid w:val="0"/>
                <w:color w:val="auto"/>
                <w:sz w:val="24"/>
                <w:highlight w:val="none"/>
                <w:lang w:eastAsia="en-US"/>
              </w:rPr>
              <w:t>春秋</w:t>
            </w:r>
            <w:r>
              <w:rPr>
                <w:rFonts w:hint="eastAsia" w:ascii="方正仿宋_GB2312" w:hAnsi="方正仿宋_GB2312" w:eastAsia="方正仿宋_GB2312" w:cs="方正仿宋_GB2312"/>
                <w:snapToGrid w:val="0"/>
                <w:color w:val="auto"/>
                <w:sz w:val="24"/>
                <w:highlight w:val="none"/>
              </w:rPr>
              <w:t>男、女</w:t>
            </w:r>
            <w:r>
              <w:rPr>
                <w:rFonts w:hint="eastAsia" w:ascii="方正仿宋_GB2312" w:hAnsi="方正仿宋_GB2312" w:eastAsia="方正仿宋_GB2312" w:cs="方正仿宋_GB2312"/>
                <w:snapToGrid w:val="0"/>
                <w:color w:val="auto"/>
                <w:sz w:val="24"/>
                <w:highlight w:val="none"/>
                <w:lang w:eastAsia="en-US"/>
              </w:rPr>
              <w:t>运动裤</w:t>
            </w:r>
          </w:p>
        </w:tc>
        <w:tc>
          <w:tcPr>
            <w:tcW w:w="1215" w:type="dxa"/>
            <w:tcBorders>
              <w:left w:val="single" w:color="000000" w:sz="2" w:space="0"/>
              <w:right w:val="single" w:color="000000" w:sz="2" w:space="0"/>
            </w:tcBorders>
            <w:vAlign w:val="center"/>
          </w:tcPr>
          <w:p w14:paraId="56AD324B">
            <w:pPr>
              <w:jc w:val="center"/>
              <w:rPr>
                <w:rFonts w:hint="eastAsia" w:ascii="方正仿宋_GB2312" w:hAnsi="方正仿宋_GB2312" w:eastAsia="方正仿宋_GB2312" w:cs="方正仿宋_GB2312"/>
                <w:color w:val="auto"/>
                <w:sz w:val="24"/>
                <w:highlight w:val="none"/>
              </w:rPr>
            </w:pPr>
            <w:r>
              <w:rPr>
                <w:rFonts w:hint="eastAsia" w:ascii="方正仿宋_GB2312" w:hAnsi="方正仿宋_GB2312" w:eastAsia="方正仿宋_GB2312" w:cs="方正仿宋_GB2312"/>
                <w:color w:val="auto"/>
                <w:sz w:val="24"/>
                <w:highlight w:val="none"/>
                <w:lang w:val="en-US" w:eastAsia="zh-CN"/>
              </w:rPr>
              <w:t>90</w:t>
            </w:r>
          </w:p>
        </w:tc>
        <w:tc>
          <w:tcPr>
            <w:tcW w:w="1125" w:type="dxa"/>
            <w:tcBorders>
              <w:left w:val="single" w:color="000000" w:sz="2" w:space="0"/>
              <w:right w:val="single" w:color="000000" w:sz="2" w:space="0"/>
            </w:tcBorders>
            <w:vAlign w:val="center"/>
          </w:tcPr>
          <w:p w14:paraId="5C0FAE8F">
            <w:pPr>
              <w:jc w:val="center"/>
              <w:rPr>
                <w:rFonts w:hint="eastAsia" w:ascii="方正仿宋_GB2312" w:hAnsi="方正仿宋_GB2312" w:eastAsia="方正仿宋_GB2312" w:cs="方正仿宋_GB2312"/>
                <w:color w:val="auto"/>
                <w:sz w:val="24"/>
                <w:highlight w:val="none"/>
              </w:rPr>
            </w:pPr>
            <w:r>
              <w:rPr>
                <w:rFonts w:hint="eastAsia" w:ascii="仿宋" w:hAnsi="宋体" w:eastAsia="仿宋" w:cs="宋体"/>
                <w:color w:val="auto"/>
                <w:sz w:val="24"/>
                <w:highlight w:val="none"/>
                <w:lang w:val="en-US" w:eastAsia="zh-CN"/>
              </w:rPr>
              <w:t>967</w:t>
            </w:r>
          </w:p>
        </w:tc>
        <w:tc>
          <w:tcPr>
            <w:tcW w:w="1645" w:type="dxa"/>
            <w:tcBorders>
              <w:left w:val="single" w:color="000000" w:sz="2" w:space="0"/>
              <w:right w:val="single" w:color="000000" w:sz="2" w:space="0"/>
            </w:tcBorders>
            <w:vAlign w:val="center"/>
          </w:tcPr>
          <w:p w14:paraId="536AD9D6">
            <w:pPr>
              <w:jc w:val="center"/>
              <w:rPr>
                <w:rFonts w:hint="default" w:ascii="方正仿宋_GB2312" w:hAnsi="方正仿宋_GB2312" w:eastAsia="方正仿宋_GB2312" w:cs="方正仿宋_GB2312"/>
                <w:color w:val="auto"/>
                <w:sz w:val="24"/>
                <w:highlight w:val="none"/>
                <w:lang w:val="en-US" w:eastAsia="zh-CN"/>
              </w:rPr>
            </w:pPr>
            <w:r>
              <w:rPr>
                <w:rFonts w:hint="eastAsia" w:ascii="方正仿宋_GB2312" w:hAnsi="方正仿宋_GB2312" w:eastAsia="方正仿宋_GB2312" w:cs="方正仿宋_GB2312"/>
                <w:color w:val="auto"/>
                <w:sz w:val="24"/>
                <w:highlight w:val="none"/>
                <w:lang w:val="en-US" w:eastAsia="zh-CN"/>
              </w:rPr>
              <w:t>87030</w:t>
            </w:r>
          </w:p>
        </w:tc>
        <w:tc>
          <w:tcPr>
            <w:tcW w:w="1865" w:type="dxa"/>
            <w:vMerge w:val="continue"/>
            <w:tcBorders>
              <w:top w:val="nil"/>
              <w:left w:val="single" w:color="000000" w:sz="2" w:space="0"/>
              <w:bottom w:val="nil"/>
              <w:right w:val="single" w:color="000000" w:sz="10" w:space="0"/>
            </w:tcBorders>
            <w:vAlign w:val="center"/>
          </w:tcPr>
          <w:p w14:paraId="4FF1F9C6">
            <w:pPr>
              <w:jc w:val="center"/>
              <w:rPr>
                <w:rFonts w:hint="eastAsia" w:ascii="方正仿宋_GB2312" w:hAnsi="方正仿宋_GB2312" w:eastAsia="方正仿宋_GB2312" w:cs="方正仿宋_GB2312"/>
                <w:color w:val="auto"/>
                <w:sz w:val="24"/>
                <w:highlight w:val="none"/>
              </w:rPr>
            </w:pPr>
          </w:p>
        </w:tc>
      </w:tr>
      <w:tr w14:paraId="0BDBF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14:paraId="506B2665">
            <w:pPr>
              <w:jc w:val="center"/>
              <w:rPr>
                <w:rFonts w:hint="eastAsia" w:ascii="方正仿宋_GB2312" w:hAnsi="方正仿宋_GB2312" w:eastAsia="方正仿宋_GB2312" w:cs="方正仿宋_GB2312"/>
                <w:snapToGrid w:val="0"/>
                <w:color w:val="auto"/>
                <w:sz w:val="24"/>
                <w:highlight w:val="none"/>
                <w:lang w:eastAsia="en-US"/>
              </w:rPr>
            </w:pPr>
            <w:r>
              <w:rPr>
                <w:rFonts w:hint="eastAsia" w:ascii="方正仿宋_GB2312" w:hAnsi="方正仿宋_GB2312" w:eastAsia="方正仿宋_GB2312" w:cs="方正仿宋_GB2312"/>
                <w:snapToGrid w:val="0"/>
                <w:color w:val="auto"/>
                <w:sz w:val="24"/>
                <w:highlight w:val="none"/>
              </w:rPr>
              <w:t>男、女</w:t>
            </w:r>
            <w:r>
              <w:rPr>
                <w:rFonts w:hint="eastAsia" w:ascii="方正仿宋_GB2312" w:hAnsi="方正仿宋_GB2312" w:eastAsia="方正仿宋_GB2312" w:cs="方正仿宋_GB2312"/>
                <w:snapToGrid w:val="0"/>
                <w:color w:val="auto"/>
                <w:sz w:val="24"/>
                <w:highlight w:val="none"/>
                <w:lang w:eastAsia="en-US"/>
              </w:rPr>
              <w:t>冬装</w:t>
            </w:r>
            <w:r>
              <w:rPr>
                <w:rFonts w:hint="eastAsia" w:ascii="仿宋" w:hAnsi="仿宋" w:eastAsia="仿宋" w:cs="仿宋"/>
                <w:snapToGrid w:val="0"/>
                <w:color w:val="auto"/>
                <w:spacing w:val="23"/>
                <w:kern w:val="0"/>
                <w:sz w:val="24"/>
                <w:szCs w:val="24"/>
                <w:highlight w:val="none"/>
                <w:vertAlign w:val="baseline"/>
                <w:lang w:val="en-US" w:eastAsia="zh-CN" w:bidi="ar-SA"/>
              </w:rPr>
              <w:t>上衣</w:t>
            </w:r>
          </w:p>
        </w:tc>
        <w:tc>
          <w:tcPr>
            <w:tcW w:w="1215" w:type="dxa"/>
            <w:tcBorders>
              <w:left w:val="single" w:color="000000" w:sz="2" w:space="0"/>
              <w:right w:val="single" w:color="000000" w:sz="2" w:space="0"/>
            </w:tcBorders>
            <w:vAlign w:val="center"/>
          </w:tcPr>
          <w:p w14:paraId="08162E97">
            <w:pPr>
              <w:jc w:val="center"/>
              <w:rPr>
                <w:rFonts w:hint="default" w:ascii="方正仿宋_GB2312" w:hAnsi="方正仿宋_GB2312" w:eastAsia="方正仿宋_GB2312" w:cs="方正仿宋_GB2312"/>
                <w:color w:val="auto"/>
                <w:sz w:val="24"/>
                <w:highlight w:val="none"/>
                <w:lang w:val="en-US"/>
              </w:rPr>
            </w:pPr>
            <w:r>
              <w:rPr>
                <w:rFonts w:hint="eastAsia" w:ascii="方正仿宋_GB2312" w:hAnsi="方正仿宋_GB2312" w:eastAsia="方正仿宋_GB2312" w:cs="方正仿宋_GB2312"/>
                <w:color w:val="auto"/>
                <w:sz w:val="24"/>
                <w:highlight w:val="none"/>
                <w:lang w:val="en-US" w:eastAsia="zh-CN"/>
              </w:rPr>
              <w:t>290</w:t>
            </w:r>
          </w:p>
        </w:tc>
        <w:tc>
          <w:tcPr>
            <w:tcW w:w="1125" w:type="dxa"/>
            <w:tcBorders>
              <w:left w:val="single" w:color="000000" w:sz="2" w:space="0"/>
              <w:right w:val="single" w:color="000000" w:sz="2" w:space="0"/>
            </w:tcBorders>
            <w:vAlign w:val="center"/>
          </w:tcPr>
          <w:p w14:paraId="0F70EF14">
            <w:pPr>
              <w:jc w:val="center"/>
              <w:rPr>
                <w:rFonts w:hint="eastAsia" w:ascii="方正仿宋_GB2312" w:hAnsi="方正仿宋_GB2312" w:eastAsia="方正仿宋_GB2312" w:cs="方正仿宋_GB2312"/>
                <w:color w:val="auto"/>
                <w:sz w:val="24"/>
                <w:highlight w:val="none"/>
              </w:rPr>
            </w:pPr>
            <w:r>
              <w:rPr>
                <w:rFonts w:hint="eastAsia" w:ascii="仿宋" w:hAnsi="宋体" w:eastAsia="仿宋" w:cs="宋体"/>
                <w:color w:val="auto"/>
                <w:sz w:val="24"/>
                <w:highlight w:val="none"/>
                <w:lang w:val="en-US" w:eastAsia="zh-CN"/>
              </w:rPr>
              <w:t>967</w:t>
            </w:r>
          </w:p>
        </w:tc>
        <w:tc>
          <w:tcPr>
            <w:tcW w:w="1645" w:type="dxa"/>
            <w:tcBorders>
              <w:left w:val="single" w:color="000000" w:sz="2" w:space="0"/>
              <w:right w:val="single" w:color="000000" w:sz="2" w:space="0"/>
            </w:tcBorders>
            <w:vAlign w:val="center"/>
          </w:tcPr>
          <w:p w14:paraId="1E0E8BC3">
            <w:pPr>
              <w:jc w:val="center"/>
              <w:rPr>
                <w:rFonts w:hint="default" w:ascii="方正仿宋_GB2312" w:hAnsi="方正仿宋_GB2312" w:eastAsia="方正仿宋_GB2312" w:cs="方正仿宋_GB2312"/>
                <w:color w:val="auto"/>
                <w:sz w:val="24"/>
                <w:highlight w:val="none"/>
                <w:lang w:val="en-US" w:eastAsia="zh-CN"/>
              </w:rPr>
            </w:pPr>
            <w:r>
              <w:rPr>
                <w:rFonts w:hint="eastAsia" w:ascii="方正仿宋_GB2312" w:hAnsi="方正仿宋_GB2312" w:eastAsia="方正仿宋_GB2312" w:cs="方正仿宋_GB2312"/>
                <w:color w:val="auto"/>
                <w:sz w:val="24"/>
                <w:highlight w:val="none"/>
                <w:lang w:val="en-US" w:eastAsia="zh-CN"/>
              </w:rPr>
              <w:t>280430</w:t>
            </w:r>
          </w:p>
        </w:tc>
        <w:tc>
          <w:tcPr>
            <w:tcW w:w="1865" w:type="dxa"/>
            <w:vMerge w:val="continue"/>
            <w:tcBorders>
              <w:top w:val="nil"/>
              <w:left w:val="single" w:color="000000" w:sz="2" w:space="0"/>
              <w:bottom w:val="nil"/>
              <w:right w:val="single" w:color="000000" w:sz="10" w:space="0"/>
            </w:tcBorders>
            <w:vAlign w:val="center"/>
          </w:tcPr>
          <w:p w14:paraId="3E5F2AF9">
            <w:pPr>
              <w:jc w:val="center"/>
              <w:rPr>
                <w:rFonts w:hint="eastAsia" w:ascii="方正仿宋_GB2312" w:hAnsi="方正仿宋_GB2312" w:eastAsia="方正仿宋_GB2312" w:cs="方正仿宋_GB2312"/>
                <w:color w:val="auto"/>
                <w:sz w:val="24"/>
                <w:highlight w:val="none"/>
              </w:rPr>
            </w:pPr>
          </w:p>
        </w:tc>
      </w:tr>
      <w:tr w14:paraId="7CE77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14:paraId="57ACF4DD">
            <w:pPr>
              <w:jc w:val="center"/>
              <w:rPr>
                <w:rFonts w:hint="eastAsia" w:ascii="方正仿宋_GB2312" w:hAnsi="方正仿宋_GB2312" w:eastAsia="方正仿宋_GB2312" w:cs="方正仿宋_GB2312"/>
                <w:snapToGrid w:val="0"/>
                <w:color w:val="auto"/>
                <w:sz w:val="24"/>
                <w:highlight w:val="none"/>
                <w:lang w:val="en-US" w:eastAsia="zh-CN"/>
              </w:rPr>
            </w:pPr>
            <w:r>
              <w:rPr>
                <w:rFonts w:hint="eastAsia" w:ascii="方正仿宋_GB2312" w:hAnsi="方正仿宋_GB2312" w:eastAsia="方正仿宋_GB2312" w:cs="方正仿宋_GB2312"/>
                <w:snapToGrid w:val="0"/>
                <w:color w:val="auto"/>
                <w:sz w:val="24"/>
                <w:highlight w:val="none"/>
              </w:rPr>
              <w:t>男、女</w:t>
            </w:r>
            <w:r>
              <w:rPr>
                <w:rFonts w:hint="eastAsia" w:ascii="方正仿宋_GB2312" w:hAnsi="方正仿宋_GB2312" w:eastAsia="方正仿宋_GB2312" w:cs="方正仿宋_GB2312"/>
                <w:snapToGrid w:val="0"/>
                <w:color w:val="auto"/>
                <w:sz w:val="24"/>
                <w:highlight w:val="none"/>
                <w:lang w:eastAsia="en-US"/>
              </w:rPr>
              <w:t>冬装</w:t>
            </w:r>
            <w:r>
              <w:rPr>
                <w:rFonts w:hint="eastAsia" w:ascii="方正仿宋_GB2312" w:hAnsi="方正仿宋_GB2312" w:eastAsia="方正仿宋_GB2312" w:cs="方正仿宋_GB2312"/>
                <w:snapToGrid w:val="0"/>
                <w:color w:val="auto"/>
                <w:sz w:val="24"/>
                <w:highlight w:val="none"/>
                <w:lang w:val="en-US" w:eastAsia="zh-CN"/>
              </w:rPr>
              <w:t>裤</w:t>
            </w:r>
          </w:p>
        </w:tc>
        <w:tc>
          <w:tcPr>
            <w:tcW w:w="1215" w:type="dxa"/>
            <w:tcBorders>
              <w:left w:val="single" w:color="000000" w:sz="2" w:space="0"/>
              <w:right w:val="single" w:color="000000" w:sz="2" w:space="0"/>
            </w:tcBorders>
            <w:vAlign w:val="center"/>
          </w:tcPr>
          <w:p w14:paraId="26A458D4">
            <w:pPr>
              <w:jc w:val="center"/>
              <w:rPr>
                <w:rFonts w:hint="eastAsia" w:ascii="方正仿宋_GB2312" w:hAnsi="方正仿宋_GB2312" w:eastAsia="方正仿宋_GB2312" w:cs="方正仿宋_GB2312"/>
                <w:color w:val="auto"/>
                <w:sz w:val="24"/>
                <w:highlight w:val="none"/>
                <w:lang w:eastAsia="en-US"/>
              </w:rPr>
            </w:pPr>
            <w:r>
              <w:rPr>
                <w:rFonts w:hint="eastAsia" w:ascii="方正仿宋_GB2312" w:hAnsi="方正仿宋_GB2312" w:eastAsia="方正仿宋_GB2312" w:cs="方正仿宋_GB2312"/>
                <w:color w:val="auto"/>
                <w:sz w:val="24"/>
                <w:highlight w:val="none"/>
                <w:lang w:val="en-US" w:eastAsia="zh-CN"/>
              </w:rPr>
              <w:t>100</w:t>
            </w:r>
          </w:p>
        </w:tc>
        <w:tc>
          <w:tcPr>
            <w:tcW w:w="1125" w:type="dxa"/>
            <w:tcBorders>
              <w:left w:val="single" w:color="000000" w:sz="2" w:space="0"/>
              <w:right w:val="single" w:color="000000" w:sz="2" w:space="0"/>
            </w:tcBorders>
            <w:vAlign w:val="center"/>
          </w:tcPr>
          <w:p w14:paraId="1829A096">
            <w:pPr>
              <w:jc w:val="center"/>
              <w:rPr>
                <w:rFonts w:hint="eastAsia" w:ascii="方正仿宋_GB2312" w:hAnsi="方正仿宋_GB2312" w:eastAsia="方正仿宋_GB2312" w:cs="方正仿宋_GB2312"/>
                <w:color w:val="auto"/>
                <w:sz w:val="24"/>
                <w:highlight w:val="none"/>
              </w:rPr>
            </w:pPr>
            <w:r>
              <w:rPr>
                <w:rFonts w:hint="eastAsia" w:ascii="仿宋" w:hAnsi="宋体" w:eastAsia="仿宋" w:cs="宋体"/>
                <w:color w:val="auto"/>
                <w:sz w:val="24"/>
                <w:highlight w:val="none"/>
                <w:lang w:val="en-US" w:eastAsia="zh-CN"/>
              </w:rPr>
              <w:t>967</w:t>
            </w:r>
          </w:p>
        </w:tc>
        <w:tc>
          <w:tcPr>
            <w:tcW w:w="1645" w:type="dxa"/>
            <w:tcBorders>
              <w:left w:val="single" w:color="000000" w:sz="2" w:space="0"/>
              <w:right w:val="single" w:color="000000" w:sz="2" w:space="0"/>
            </w:tcBorders>
            <w:vAlign w:val="center"/>
          </w:tcPr>
          <w:p w14:paraId="11EA612D">
            <w:pPr>
              <w:jc w:val="center"/>
              <w:rPr>
                <w:rFonts w:hint="default" w:ascii="方正仿宋_GB2312" w:hAnsi="方正仿宋_GB2312" w:eastAsia="方正仿宋_GB2312" w:cs="方正仿宋_GB2312"/>
                <w:color w:val="auto"/>
                <w:sz w:val="24"/>
                <w:highlight w:val="none"/>
                <w:lang w:val="en-US" w:eastAsia="zh-CN"/>
              </w:rPr>
            </w:pPr>
            <w:r>
              <w:rPr>
                <w:rFonts w:hint="eastAsia" w:ascii="方正仿宋_GB2312" w:hAnsi="方正仿宋_GB2312" w:eastAsia="方正仿宋_GB2312" w:cs="方正仿宋_GB2312"/>
                <w:color w:val="auto"/>
                <w:sz w:val="24"/>
                <w:highlight w:val="none"/>
                <w:lang w:val="en-US" w:eastAsia="zh-CN"/>
              </w:rPr>
              <w:t>96700</w:t>
            </w:r>
          </w:p>
        </w:tc>
        <w:tc>
          <w:tcPr>
            <w:tcW w:w="1865" w:type="dxa"/>
            <w:vMerge w:val="continue"/>
            <w:tcBorders>
              <w:top w:val="nil"/>
              <w:left w:val="single" w:color="000000" w:sz="2" w:space="0"/>
              <w:bottom w:val="nil"/>
              <w:right w:val="single" w:color="000000" w:sz="10" w:space="0"/>
            </w:tcBorders>
            <w:vAlign w:val="center"/>
          </w:tcPr>
          <w:p w14:paraId="75A9A308">
            <w:pPr>
              <w:jc w:val="center"/>
              <w:rPr>
                <w:rFonts w:hint="eastAsia" w:ascii="方正仿宋_GB2312" w:hAnsi="方正仿宋_GB2312" w:eastAsia="方正仿宋_GB2312" w:cs="方正仿宋_GB2312"/>
                <w:color w:val="auto"/>
                <w:sz w:val="24"/>
                <w:highlight w:val="none"/>
              </w:rPr>
            </w:pPr>
          </w:p>
        </w:tc>
      </w:tr>
      <w:tr w14:paraId="498AC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4" w:hRule="atLeast"/>
        </w:trPr>
        <w:tc>
          <w:tcPr>
            <w:tcW w:w="5123" w:type="dxa"/>
            <w:gridSpan w:val="3"/>
            <w:tcBorders>
              <w:left w:val="single" w:color="000000" w:sz="10" w:space="0"/>
              <w:right w:val="single" w:color="000000" w:sz="2" w:space="0"/>
            </w:tcBorders>
            <w:vAlign w:val="center"/>
          </w:tcPr>
          <w:p w14:paraId="63387498">
            <w:pPr>
              <w:pStyle w:val="11"/>
              <w:spacing w:before="93" w:line="221" w:lineRule="auto"/>
              <w:ind w:left="4446"/>
              <w:jc w:val="center"/>
              <w:rPr>
                <w:rFonts w:hint="eastAsia" w:ascii="方正仿宋_GB2312" w:hAnsi="方正仿宋_GB2312" w:eastAsia="方正仿宋_GB2312" w:cs="方正仿宋_GB2312"/>
                <w:color w:val="auto"/>
                <w:highlight w:val="none"/>
              </w:rPr>
            </w:pPr>
            <w:r>
              <w:rPr>
                <w:rFonts w:hint="eastAsia" w:ascii="方正仿宋_GB2312" w:hAnsi="方正仿宋_GB2312" w:eastAsia="方正仿宋_GB2312" w:cs="方正仿宋_GB2312"/>
                <w:color w:val="auto"/>
                <w:spacing w:val="-6"/>
                <w:highlight w:val="none"/>
              </w:rPr>
              <w:t>合计</w:t>
            </w:r>
          </w:p>
        </w:tc>
        <w:tc>
          <w:tcPr>
            <w:tcW w:w="1645" w:type="dxa"/>
            <w:tcBorders>
              <w:left w:val="single" w:color="000000" w:sz="2" w:space="0"/>
              <w:right w:val="single" w:color="000000" w:sz="2" w:space="0"/>
            </w:tcBorders>
            <w:vAlign w:val="center"/>
          </w:tcPr>
          <w:p w14:paraId="1DC2EF47">
            <w:pPr>
              <w:jc w:val="center"/>
              <w:rPr>
                <w:rFonts w:hint="eastAsia" w:ascii="方正仿宋_GB2312" w:hAnsi="方正仿宋_GB2312" w:eastAsia="方正仿宋_GB2312" w:cs="方正仿宋_GB2312"/>
                <w:color w:val="auto"/>
                <w:sz w:val="24"/>
                <w:highlight w:val="none"/>
                <w:lang w:val="en-US" w:eastAsia="zh-CN"/>
              </w:rPr>
            </w:pPr>
            <w:r>
              <w:rPr>
                <w:rFonts w:hint="eastAsia" w:ascii="仿宋" w:hAnsi="宋体" w:eastAsia="仿宋" w:cs="宋体"/>
                <w:color w:val="auto"/>
                <w:sz w:val="24"/>
                <w:highlight w:val="none"/>
                <w:lang w:val="en-US" w:eastAsia="zh-CN"/>
              </w:rPr>
              <w:t>696240</w:t>
            </w:r>
          </w:p>
        </w:tc>
        <w:tc>
          <w:tcPr>
            <w:tcW w:w="1865" w:type="dxa"/>
            <w:vMerge w:val="continue"/>
            <w:tcBorders>
              <w:top w:val="nil"/>
              <w:left w:val="single" w:color="000000" w:sz="2" w:space="0"/>
              <w:right w:val="single" w:color="000000" w:sz="10" w:space="0"/>
            </w:tcBorders>
            <w:vAlign w:val="center"/>
          </w:tcPr>
          <w:p w14:paraId="17D62257">
            <w:pPr>
              <w:jc w:val="center"/>
              <w:rPr>
                <w:rFonts w:hint="eastAsia" w:ascii="方正仿宋_GB2312" w:hAnsi="方正仿宋_GB2312" w:eastAsia="方正仿宋_GB2312" w:cs="方正仿宋_GB2312"/>
                <w:color w:val="auto"/>
                <w:sz w:val="24"/>
                <w:highlight w:val="none"/>
              </w:rPr>
            </w:pPr>
          </w:p>
        </w:tc>
      </w:tr>
    </w:tbl>
    <w:p w14:paraId="59919B52">
      <w:pPr>
        <w:spacing w:before="200" w:after="100"/>
        <w:jc w:val="left"/>
        <w:outlineLvl w:val="1"/>
        <w:rPr>
          <w:rFonts w:hint="eastAsia" w:ascii="Times New Roman" w:hAnsi="Times New Roman" w:eastAsia="宋体" w:cs="Times New Roman"/>
          <w:bCs w:val="0"/>
          <w:color w:val="auto"/>
          <w:sz w:val="24"/>
          <w:highlight w:val="none"/>
          <w:u w:val="none"/>
          <w:lang w:eastAsia="en-US"/>
        </w:rPr>
      </w:pPr>
      <w:r>
        <w:rPr>
          <w:rFonts w:hint="eastAsia"/>
          <w:color w:val="auto"/>
          <w:sz w:val="24"/>
          <w:highlight w:val="none"/>
          <w:lang w:val="en-US" w:eastAsia="zh-CN"/>
        </w:rPr>
        <w:t>注</w:t>
      </w:r>
      <w:r>
        <w:rPr>
          <w:rFonts w:hint="eastAsia"/>
          <w:color w:val="auto"/>
          <w:sz w:val="24"/>
          <w:highlight w:val="none"/>
          <w:u w:val="none"/>
          <w:lang w:val="en-US" w:eastAsia="en-US"/>
        </w:rPr>
        <w:t>：</w:t>
      </w:r>
      <w:r>
        <w:rPr>
          <w:rFonts w:hint="eastAsia" w:ascii="Times New Roman" w:hAnsi="Times New Roman" w:eastAsia="宋体" w:cs="Times New Roman"/>
          <w:bCs w:val="0"/>
          <w:color w:val="auto"/>
          <w:sz w:val="24"/>
          <w:highlight w:val="none"/>
          <w:u w:val="none"/>
          <w:lang w:eastAsia="en-US"/>
        </w:rPr>
        <w:t>以上数字仅供投标参考，结算以学校实际人数和实际供应数量为准。</w:t>
      </w:r>
    </w:p>
    <w:p w14:paraId="2C506BD9">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w:t>
      </w:r>
      <w:r>
        <w:rPr>
          <w:rFonts w:hint="eastAsia" w:ascii="楷体" w:hAnsi="宋体" w:eastAsia="楷体" w:cs="宋体"/>
          <w:color w:val="auto"/>
          <w:sz w:val="32"/>
          <w:highlight w:val="none"/>
          <w:lang w:val="en-US" w:eastAsia="zh-CN"/>
        </w:rPr>
        <w:t>七</w:t>
      </w:r>
      <w:r>
        <w:rPr>
          <w:rFonts w:hint="eastAsia" w:ascii="楷体" w:hAnsi="宋体" w:eastAsia="楷体" w:cs="宋体"/>
          <w:color w:val="auto"/>
          <w:sz w:val="32"/>
          <w:highlight w:val="none"/>
        </w:rPr>
        <w:t>）供应商要求</w:t>
      </w:r>
    </w:p>
    <w:p w14:paraId="0E1EB02F">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中标年限：1年（根据吴教办函(2026） 1 号要求，本项目实行“—年一采”）。</w:t>
      </w:r>
    </w:p>
    <w:p w14:paraId="7DB4FD74">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售后服务期：3年(中标后3年内，</w:t>
      </w:r>
      <w:r>
        <w:rPr>
          <w:rFonts w:hint="eastAsia" w:ascii="宋体" w:hAnsi="宋体" w:eastAsia="宋体" w:cs="宋体"/>
          <w:color w:val="auto"/>
          <w:sz w:val="21"/>
          <w:szCs w:val="21"/>
          <w:highlight w:val="none"/>
          <w:lang w:val="en-US" w:eastAsia="zh-CN"/>
        </w:rPr>
        <w:t>初中</w:t>
      </w:r>
      <w:r>
        <w:rPr>
          <w:rFonts w:hint="eastAsia" w:ascii="宋体" w:hAnsi="宋体" w:eastAsia="宋体" w:cs="宋体"/>
          <w:color w:val="auto"/>
          <w:sz w:val="21"/>
          <w:szCs w:val="21"/>
          <w:highlight w:val="none"/>
        </w:rPr>
        <w:t>2026级学生校服的维修、调换以及零星补购由本次中标供应商提供）。</w:t>
      </w:r>
    </w:p>
    <w:p w14:paraId="6AFAAFE1">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售后服务：</w:t>
      </w:r>
    </w:p>
    <w:p w14:paraId="6E250482">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（1）质保服务：中标供应商对所有产品提供不少于一年的免费质保。校服交付发放后，若出现尺码不合、做工瑕疵、面料破损等问题，中标供应商需在收到退换申请后</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个工作日内完成免费退换，往返物流费用由中标供应商承担。学生穿着一年内，出现非人为因素造成的质量</w:t>
      </w:r>
      <w:r>
        <w:rPr>
          <w:rFonts w:hint="eastAsia" w:ascii="宋体" w:hAnsi="宋体" w:eastAsia="宋体" w:cs="宋体"/>
          <w:color w:val="auto"/>
          <w:sz w:val="21"/>
          <w:szCs w:val="21"/>
          <w:highlight w:val="none"/>
          <w:lang w:val="en-US" w:eastAsia="zh-CN"/>
        </w:rPr>
        <w:t>缺陷</w:t>
      </w:r>
      <w:r>
        <w:rPr>
          <w:rFonts w:hint="eastAsia" w:ascii="宋体" w:hAnsi="宋体" w:eastAsia="宋体" w:cs="宋体"/>
          <w:color w:val="auto"/>
          <w:sz w:val="21"/>
          <w:szCs w:val="21"/>
          <w:highlight w:val="none"/>
        </w:rPr>
        <w:t>（如非正常开线、严重</w:t>
      </w:r>
      <w:r>
        <w:rPr>
          <w:rFonts w:hint="eastAsia" w:ascii="宋体" w:hAnsi="宋体" w:eastAsia="宋体" w:cs="宋体"/>
          <w:color w:val="auto"/>
          <w:sz w:val="21"/>
          <w:szCs w:val="21"/>
          <w:highlight w:val="none"/>
          <w:lang w:val="en-US" w:eastAsia="zh-CN"/>
        </w:rPr>
        <w:t>色牢</w:t>
      </w:r>
      <w:r>
        <w:rPr>
          <w:rFonts w:hint="eastAsia" w:ascii="宋体" w:hAnsi="宋体" w:eastAsia="宋体" w:cs="宋体"/>
          <w:color w:val="auto"/>
          <w:sz w:val="21"/>
          <w:szCs w:val="21"/>
          <w:highlight w:val="none"/>
        </w:rPr>
        <w:t>度不达标褪色、面料撕裂（拔丝）、严重起球、变形缩水等，质量判定标准执行GB/T31888 《中小学生校服》），中标供应商须提供免费维修或更换。质保期从</w:t>
      </w:r>
      <w:r>
        <w:rPr>
          <w:rFonts w:hint="eastAsia" w:ascii="宋体" w:hAnsi="宋体" w:eastAsia="宋体" w:cs="宋体"/>
          <w:color w:val="auto"/>
          <w:sz w:val="21"/>
          <w:szCs w:val="21"/>
          <w:highlight w:val="none"/>
          <w:lang w:val="en-US" w:eastAsia="zh-CN"/>
        </w:rPr>
        <w:t>验收小组</w:t>
      </w:r>
      <w:r>
        <w:rPr>
          <w:rFonts w:hint="eastAsia" w:ascii="宋体" w:hAnsi="宋体" w:eastAsia="宋体" w:cs="宋体"/>
          <w:color w:val="auto"/>
          <w:sz w:val="21"/>
          <w:szCs w:val="21"/>
          <w:highlight w:val="none"/>
        </w:rPr>
        <w:t>签字验收合格之日起执行。</w:t>
      </w:r>
    </w:p>
    <w:p w14:paraId="057B5000">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售后服务：中标供应商应建立以学校为单位的校服服务体系并提供三年售后服务，提供相对固定的购买渠道（如线下门店或线上小程序等），备足货源，方便学生家长调换、修补、零星购买，在收到家长售后申请后</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个工作</w:t>
      </w:r>
      <w:r>
        <w:rPr>
          <w:rFonts w:hint="eastAsia" w:ascii="宋体" w:hAnsi="宋体" w:eastAsia="宋体" w:cs="宋体"/>
          <w:color w:val="auto"/>
          <w:sz w:val="21"/>
          <w:szCs w:val="21"/>
          <w:highlight w:val="none"/>
          <w:lang w:val="en-US" w:eastAsia="zh-CN"/>
        </w:rPr>
        <w:t>日内</w:t>
      </w:r>
      <w:r>
        <w:rPr>
          <w:rFonts w:hint="eastAsia" w:ascii="宋体" w:hAnsi="宋体" w:eastAsia="宋体" w:cs="宋体"/>
          <w:color w:val="auto"/>
          <w:sz w:val="21"/>
          <w:szCs w:val="21"/>
          <w:highlight w:val="none"/>
        </w:rPr>
        <w:t>中标供应商应完成售后服务。对家长后期增补购买的校服价格不得高于中标价，包装费、快递费等由中标供应商承担。售后服务期从</w:t>
      </w:r>
      <w:r>
        <w:rPr>
          <w:rFonts w:hint="eastAsia" w:ascii="宋体" w:hAnsi="宋体" w:eastAsia="宋体" w:cs="宋体"/>
          <w:color w:val="auto"/>
          <w:sz w:val="21"/>
          <w:szCs w:val="21"/>
          <w:highlight w:val="none"/>
          <w:lang w:val="en-US" w:eastAsia="zh-CN"/>
        </w:rPr>
        <w:t>验收小组</w:t>
      </w:r>
      <w:r>
        <w:rPr>
          <w:rFonts w:hint="eastAsia" w:ascii="宋体" w:hAnsi="宋体" w:eastAsia="宋体" w:cs="宋体"/>
          <w:color w:val="auto"/>
          <w:sz w:val="21"/>
          <w:szCs w:val="21"/>
          <w:highlight w:val="none"/>
        </w:rPr>
        <w:t>签字验收合格之</w:t>
      </w:r>
      <w:r>
        <w:rPr>
          <w:rFonts w:hint="eastAsia" w:ascii="宋体" w:hAnsi="宋体" w:eastAsia="宋体" w:cs="宋体"/>
          <w:color w:val="auto"/>
          <w:sz w:val="21"/>
          <w:szCs w:val="21"/>
          <w:highlight w:val="none"/>
          <w:lang w:val="en-US" w:eastAsia="zh-CN"/>
        </w:rPr>
        <w:t>日</w:t>
      </w:r>
      <w:r>
        <w:rPr>
          <w:rFonts w:hint="eastAsia" w:ascii="宋体" w:hAnsi="宋体" w:eastAsia="宋体" w:cs="宋体"/>
          <w:color w:val="auto"/>
          <w:sz w:val="21"/>
          <w:szCs w:val="21"/>
          <w:highlight w:val="none"/>
        </w:rPr>
        <w:t>起执行。</w:t>
      </w:r>
    </w:p>
    <w:p w14:paraId="36694592">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供应商所有提供的货物如有质量问题，应在接到甲方通知后2小时内到现场解决，特殊情况须 24_小时到现场解决，且对于有质量问题的产品必须尽快给予免费调换。逾期未处理，甲方可委托第三方解决，产生费用由供应商承担，并且供应商须额外支付产生费用5%的违约金。</w:t>
      </w:r>
    </w:p>
    <w:p w14:paraId="00FA16F7">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）备货要求</w:t>
      </w:r>
    </w:p>
    <w:p w14:paraId="7BD72333">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中标供应商须备多于合同总数10%以上的货物以供学生调换（尺码不匹配）、质保、后期增补订等用途，其余量身定制类数量应保证调换到位。</w:t>
      </w:r>
    </w:p>
    <w:p w14:paraId="59B3A1E2">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在完成发放后，备货由供应商带回厂家仓库。</w:t>
      </w:r>
    </w:p>
    <w:p w14:paraId="22AD0905">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lang w:val="en-US" w:eastAsia="zh-CN"/>
        </w:rPr>
        <w:t>五</w:t>
      </w:r>
      <w:r>
        <w:rPr>
          <w:rFonts w:hint="eastAsia" w:ascii="黑体" w:hAnsi="宋体" w:eastAsia="黑体" w:cs="宋体"/>
          <w:color w:val="auto"/>
          <w:sz w:val="32"/>
          <w:highlight w:val="none"/>
        </w:rPr>
        <w:t>、采购工作流程与时间安排</w:t>
      </w:r>
    </w:p>
    <w:p w14:paraId="2BC7A7DF">
      <w:pPr>
        <w:spacing w:before="200" w:after="100"/>
        <w:jc w:val="left"/>
        <w:outlineLvl w:val="1"/>
        <w:rPr>
          <w:rFonts w:hint="eastAsia" w:ascii="楷体" w:eastAsia="楷体" w:hAnsiTheme="minorEastAsia" w:cstheme="minorEastAsia"/>
          <w:color w:val="auto"/>
          <w:sz w:val="32"/>
          <w:highlight w:val="none"/>
        </w:rPr>
      </w:pPr>
      <w:r>
        <w:rPr>
          <w:rFonts w:hint="eastAsia" w:ascii="楷体" w:eastAsia="楷体" w:hAnsiTheme="minorEastAsia" w:cstheme="minorEastAsia"/>
          <w:color w:val="auto"/>
          <w:sz w:val="32"/>
          <w:highlight w:val="none"/>
        </w:rPr>
        <w:t>（一）流程步骤</w:t>
      </w:r>
    </w:p>
    <w:p w14:paraId="01020CC6">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1.确定代理机构：通过中介超市完成招标代理机构的筛选与确定，委托其负责本次校服采购的招标相关工作。</w:t>
      </w:r>
    </w:p>
    <w:p w14:paraId="31BC36FD">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2.招标：由代理机构编制招标文件，发布招标公告，公告期限5个工作日。</w:t>
      </w:r>
    </w:p>
    <w:p w14:paraId="1B82AC36">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3.开标与评审：代理机构接收供应商投标文件、样品，组织开标、评标。评标委员会组成：</w:t>
      </w:r>
      <w:r>
        <w:rPr>
          <w:rFonts w:hint="eastAsia" w:ascii="宋体" w:hAnsi="宋体" w:eastAsia="宋体" w:cs="宋体"/>
          <w:color w:val="auto"/>
          <w:sz w:val="21"/>
          <w:szCs w:val="21"/>
          <w:highlight w:val="none"/>
          <w:lang w:val="zh-TW"/>
        </w:rPr>
        <w:t>人数为7人，其中招标人代表1名，家长代表</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zh-TW"/>
        </w:rPr>
        <w:t>人，技术、经济专家（</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val="en-US" w:eastAsia="zh-CN"/>
        </w:rPr>
        <w:t>江苏省</w:t>
      </w:r>
      <w:r>
        <w:rPr>
          <w:rFonts w:hint="eastAsia" w:ascii="宋体" w:hAnsi="宋体" w:eastAsia="宋体" w:cs="宋体"/>
          <w:color w:val="auto"/>
          <w:sz w:val="21"/>
          <w:szCs w:val="21"/>
          <w:highlight w:val="none"/>
        </w:rPr>
        <w:t>评标专家库随机抽取</w:t>
      </w:r>
      <w:r>
        <w:rPr>
          <w:rFonts w:hint="eastAsia" w:ascii="宋体" w:hAnsi="宋体" w:eastAsia="宋体" w:cs="宋体"/>
          <w:color w:val="auto"/>
          <w:sz w:val="21"/>
          <w:szCs w:val="21"/>
          <w:highlight w:val="none"/>
          <w:lang w:val="zh-TW"/>
        </w:rPr>
        <w:t>）</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zh-TW"/>
        </w:rPr>
        <w:t>人。</w:t>
      </w:r>
    </w:p>
    <w:p w14:paraId="069C6C87">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4.中标公示：学校对中标企业名称、校服款式及质量标准、中标价格、服务年限、售后服务等信息进行公示，公示时间5个工作日。</w:t>
      </w:r>
    </w:p>
    <w:p w14:paraId="5BEA0A22">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样衣送检、</w:t>
      </w:r>
      <w:r>
        <w:rPr>
          <w:rFonts w:hint="eastAsia" w:ascii="宋体" w:hAnsi="宋体" w:eastAsia="宋体" w:cs="宋体"/>
          <w:color w:val="auto"/>
          <w:sz w:val="21"/>
          <w:szCs w:val="21"/>
          <w:highlight w:val="none"/>
        </w:rPr>
        <w:t>合同签订：在校服选用组织的监督下，拟中标企业将样衣送</w:t>
      </w:r>
      <w:r>
        <w:rPr>
          <w:rFonts w:hint="eastAsia" w:ascii="宋体" w:hAnsi="宋体" w:eastAsia="宋体" w:cs="宋体"/>
          <w:color w:val="auto"/>
          <w:sz w:val="21"/>
          <w:szCs w:val="21"/>
          <w:highlight w:val="none"/>
          <w:lang w:val="en-US" w:eastAsia="zh-CN"/>
        </w:rPr>
        <w:t>省、直辖市及以上“技术监督部门依法授权的服装质检部门”</w:t>
      </w:r>
      <w:r>
        <w:rPr>
          <w:rFonts w:hint="eastAsia" w:ascii="宋体" w:hAnsi="宋体" w:eastAsia="宋体" w:cs="宋体"/>
          <w:color w:val="auto"/>
          <w:sz w:val="21"/>
          <w:szCs w:val="21"/>
          <w:highlight w:val="none"/>
        </w:rPr>
        <w:t>进行</w:t>
      </w:r>
      <w:r>
        <w:rPr>
          <w:rFonts w:hint="eastAsia" w:ascii="宋体" w:hAnsi="宋体" w:eastAsia="宋体" w:cs="宋体"/>
          <w:color w:val="auto"/>
          <w:sz w:val="21"/>
          <w:szCs w:val="21"/>
          <w:highlight w:val="none"/>
          <w:lang w:val="en-US" w:eastAsia="zh-CN"/>
        </w:rPr>
        <w:t>检测</w:t>
      </w:r>
      <w:r>
        <w:rPr>
          <w:rFonts w:hint="eastAsia" w:ascii="宋体" w:hAnsi="宋体" w:eastAsia="宋体" w:cs="宋体"/>
          <w:color w:val="auto"/>
          <w:sz w:val="21"/>
          <w:szCs w:val="21"/>
          <w:highlight w:val="none"/>
        </w:rPr>
        <w:t>，取得合格报告且公示无异议后方可签订合同。合同应明确校服价格、质量标准、交货时间、售后服务条款及违约责任</w:t>
      </w:r>
      <w:r>
        <w:rPr>
          <w:rFonts w:hint="eastAsia" w:ascii="宋体" w:hAnsi="宋体" w:eastAsia="宋体" w:cs="宋体"/>
          <w:color w:val="auto"/>
          <w:sz w:val="21"/>
          <w:szCs w:val="21"/>
          <w:highlight w:val="none"/>
          <w:lang w:val="en-US" w:eastAsia="zh-CN"/>
        </w:rPr>
        <w:t>等</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样衣检测费由中标单位承担。</w:t>
      </w:r>
    </w:p>
    <w:p w14:paraId="429386C0">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注：样衣检测不合格及递补：样衣检测报告不符合相关技术参数或者安全要求，则认为所送产品不合格，将取消拟中标供应商中标资格。学校将选择同标段综合得分排名在其的后一名的中标候选供应商递补重新送检。</w:t>
      </w:r>
    </w:p>
    <w:p w14:paraId="4AF7EE40">
      <w:pPr>
        <w:spacing w:line="360" w:lineRule="auto"/>
        <w:ind w:firstLine="482"/>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6.一次送检：中标人在生产前，除提供面料供应</w:t>
      </w:r>
      <w:r>
        <w:rPr>
          <w:rFonts w:hint="eastAsia" w:ascii="宋体" w:hAnsi="宋体" w:eastAsia="宋体" w:cs="宋体"/>
          <w:color w:val="auto"/>
          <w:sz w:val="21"/>
          <w:szCs w:val="21"/>
          <w:highlight w:val="none"/>
          <w:lang w:val="en-US" w:eastAsia="zh-CN"/>
        </w:rPr>
        <w:t>商</w:t>
      </w:r>
      <w:r>
        <w:rPr>
          <w:rFonts w:hint="eastAsia" w:ascii="宋体" w:hAnsi="宋体" w:eastAsia="宋体" w:cs="宋体"/>
          <w:color w:val="auto"/>
          <w:sz w:val="21"/>
          <w:szCs w:val="21"/>
          <w:highlight w:val="none"/>
        </w:rPr>
        <w:t>出具的“第三方检验报告，及“相关采购凭证”以外，还应将本批次生产校服的面、辅料样品交由省、直辖市及以上“由技术监督部门依法授权的服装质检部门” 进行检验（当面料批次及成份发生变化时也需进行检测)，必须符合招标文件及国家相关标准后方可批量生产，该料样及《检测报告》</w:t>
      </w:r>
      <w:r>
        <w:rPr>
          <w:rFonts w:hint="eastAsia" w:ascii="宋体" w:hAnsi="宋体" w:eastAsia="宋体" w:cs="宋体"/>
          <w:color w:val="auto"/>
          <w:sz w:val="21"/>
          <w:szCs w:val="21"/>
          <w:highlight w:val="none"/>
          <w:lang w:val="en-US" w:eastAsia="zh-CN"/>
        </w:rPr>
        <w:t>批量送货时一起交学校验收小组查验并存档</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检测费由中标单位承担。</w:t>
      </w:r>
    </w:p>
    <w:p w14:paraId="3E8134EB">
      <w:pPr>
        <w:spacing w:line="360" w:lineRule="auto"/>
        <w:ind w:firstLine="482"/>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.生产交付：供应商按照合同约定组织生产，在</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日前完成全部校服的生产与交付工作</w:t>
      </w:r>
      <w:r>
        <w:rPr>
          <w:rFonts w:hint="eastAsia" w:ascii="宋体" w:hAnsi="宋体" w:eastAsia="宋体" w:cs="宋体"/>
          <w:color w:val="auto"/>
          <w:sz w:val="21"/>
          <w:szCs w:val="21"/>
          <w:highlight w:val="none"/>
          <w:lang w:eastAsia="zh-CN"/>
        </w:rPr>
        <w:t>。</w:t>
      </w:r>
    </w:p>
    <w:p w14:paraId="1098CF39">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.二次送检：</w:t>
      </w:r>
      <w:r>
        <w:rPr>
          <w:rFonts w:hint="eastAsia" w:ascii="宋体" w:hAnsi="宋体" w:eastAsia="宋体" w:cs="宋体"/>
          <w:color w:val="auto"/>
          <w:sz w:val="21"/>
          <w:szCs w:val="21"/>
          <w:highlight w:val="none"/>
          <w:lang w:val="en-US" w:eastAsia="zh-CN"/>
        </w:rPr>
        <w:t>校服成品生产结束送至学校后，由学校验收小组将每款校服随机抽取三件（两件留样，一件送检），送检校服</w:t>
      </w:r>
      <w:r>
        <w:rPr>
          <w:rFonts w:hint="eastAsia" w:ascii="宋体" w:hAnsi="宋体" w:eastAsia="宋体" w:cs="宋体"/>
          <w:color w:val="auto"/>
          <w:sz w:val="21"/>
          <w:szCs w:val="21"/>
          <w:highlight w:val="none"/>
        </w:rPr>
        <w:t>交由省、直辖市及以上“由技术监督部门依法授权的服装质检部门” 进行检验</w:t>
      </w:r>
      <w:r>
        <w:rPr>
          <w:rFonts w:hint="eastAsia" w:ascii="宋体" w:hAnsi="宋体" w:eastAsia="宋体" w:cs="宋体"/>
          <w:color w:val="auto"/>
          <w:sz w:val="21"/>
          <w:szCs w:val="21"/>
          <w:highlight w:val="none"/>
          <w:lang w:val="en-US" w:eastAsia="zh-CN"/>
        </w:rPr>
        <w:t>，检验合格并公示无异议后方可发放校服；检测费由学校承担。</w:t>
      </w:r>
    </w:p>
    <w:p w14:paraId="4F47B9BC">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.验收发放：</w:t>
      </w:r>
      <w:r>
        <w:rPr>
          <w:rFonts w:hint="eastAsia" w:ascii="宋体" w:hAnsi="宋体" w:eastAsia="宋体" w:cs="宋体"/>
          <w:color w:val="auto"/>
          <w:sz w:val="21"/>
          <w:szCs w:val="21"/>
          <w:highlight w:val="none"/>
        </w:rPr>
        <w:t>学校验收工作组</w:t>
      </w:r>
      <w:r>
        <w:rPr>
          <w:rFonts w:hint="eastAsia" w:ascii="宋体" w:hAnsi="宋体" w:eastAsia="宋体" w:cs="宋体"/>
          <w:color w:val="auto"/>
          <w:sz w:val="21"/>
          <w:szCs w:val="21"/>
          <w:highlight w:val="none"/>
        </w:rPr>
        <w:t>（学校代表</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人，家长代表</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rPr>
        <w:t>完成校服验收，验收合格后，按班级发放给学生。</w:t>
      </w:r>
    </w:p>
    <w:p w14:paraId="72C99863">
      <w:pPr>
        <w:spacing w:before="200" w:after="100"/>
        <w:jc w:val="left"/>
        <w:outlineLvl w:val="1"/>
        <w:rPr>
          <w:rFonts w:ascii="楷体" w:eastAsia="楷体" w:hAnsiTheme="minorEastAsia" w:cstheme="minorEastAsia"/>
          <w:color w:val="auto"/>
          <w:sz w:val="32"/>
          <w:highlight w:val="none"/>
        </w:rPr>
      </w:pPr>
      <w:r>
        <w:rPr>
          <w:rFonts w:hint="eastAsia" w:ascii="楷体" w:eastAsia="楷体" w:hAnsiTheme="minorEastAsia" w:cstheme="minorEastAsia"/>
          <w:color w:val="auto"/>
          <w:sz w:val="32"/>
          <w:highlight w:val="none"/>
        </w:rPr>
        <w:t>（二）关键时间节点</w:t>
      </w:r>
    </w:p>
    <w:p w14:paraId="0C1D92F2">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1.前期准备：</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27</w:t>
      </w:r>
      <w:r>
        <w:rPr>
          <w:rFonts w:hint="eastAsia" w:ascii="宋体" w:hAnsi="宋体" w:eastAsia="宋体" w:cs="宋体"/>
          <w:color w:val="auto"/>
          <w:sz w:val="21"/>
          <w:szCs w:val="21"/>
          <w:highlight w:val="none"/>
        </w:rPr>
        <w:t>日前完成前期准备工作，包括</w:t>
      </w:r>
      <w:r>
        <w:rPr>
          <w:rFonts w:hint="eastAsia" w:ascii="宋体" w:hAnsi="宋体" w:eastAsia="宋体" w:cs="宋体"/>
          <w:color w:val="auto"/>
          <w:sz w:val="21"/>
          <w:szCs w:val="21"/>
          <w:highlight w:val="none"/>
          <w:lang w:val="en-US" w:eastAsia="zh-CN"/>
        </w:rPr>
        <w:t>组建校服选用组织、选用组织会议</w:t>
      </w:r>
      <w:r>
        <w:rPr>
          <w:rFonts w:hint="eastAsia" w:ascii="宋体" w:hAnsi="宋体" w:eastAsia="宋体" w:cs="宋体"/>
          <w:color w:val="auto"/>
          <w:sz w:val="21"/>
          <w:szCs w:val="21"/>
          <w:highlight w:val="none"/>
        </w:rPr>
        <w:t>、校服款式与定价等。</w:t>
      </w:r>
    </w:p>
    <w:p w14:paraId="524E9F7C">
      <w:pPr>
        <w:spacing w:line="360" w:lineRule="auto"/>
        <w:ind w:firstLine="482"/>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征询家长意愿、</w:t>
      </w:r>
      <w:r>
        <w:rPr>
          <w:rFonts w:hint="eastAsia" w:ascii="宋体" w:hAnsi="宋体" w:eastAsia="宋体" w:cs="宋体"/>
          <w:color w:val="auto"/>
          <w:sz w:val="21"/>
          <w:szCs w:val="21"/>
          <w:highlight w:val="none"/>
        </w:rPr>
        <w:t>家委会委托</w:t>
      </w:r>
      <w:r>
        <w:rPr>
          <w:rFonts w:hint="eastAsia" w:ascii="宋体" w:hAnsi="宋体" w:eastAsia="宋体" w:cs="宋体"/>
          <w:color w:val="auto"/>
          <w:sz w:val="21"/>
          <w:szCs w:val="21"/>
          <w:highlight w:val="none"/>
          <w:lang w:val="en-US" w:eastAsia="zh-CN"/>
        </w:rPr>
        <w:t>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8月2日前</w:t>
      </w:r>
    </w:p>
    <w:p w14:paraId="3B648083">
      <w:pPr>
        <w:spacing w:line="360" w:lineRule="auto"/>
        <w:ind w:firstLine="482"/>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招标代理确定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采购方案、“三重一大”会议、招标文件制定：2026年8月5日前；</w:t>
      </w:r>
    </w:p>
    <w:p w14:paraId="78ABEEA9">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一次备案</w:t>
      </w:r>
      <w:r>
        <w:rPr>
          <w:rFonts w:hint="eastAsia" w:ascii="宋体" w:hAnsi="宋体" w:eastAsia="宋体" w:cs="宋体"/>
          <w:color w:val="auto"/>
          <w:sz w:val="21"/>
          <w:szCs w:val="21"/>
          <w:highlight w:val="none"/>
        </w:rPr>
        <w:t>审核：</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日前主管部门审核。</w:t>
      </w:r>
    </w:p>
    <w:p w14:paraId="63CEC16C">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.招标公告发布：</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rPr>
        <w:t>前</w:t>
      </w:r>
    </w:p>
    <w:p w14:paraId="0522F0A0">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.供应商投标截止日：</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rPr>
        <w:t>前（同开标日）</w:t>
      </w:r>
    </w:p>
    <w:p w14:paraId="607512B4">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.样品提交日：</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rPr>
        <w:t>前（供应商需准备好各款式校服样品</w:t>
      </w:r>
      <w:r>
        <w:rPr>
          <w:rFonts w:hint="eastAsia" w:ascii="宋体" w:hAnsi="宋体" w:eastAsia="宋体" w:cs="宋体"/>
          <w:color w:val="auto"/>
          <w:sz w:val="21"/>
          <w:szCs w:val="21"/>
          <w:highlight w:val="none"/>
          <w:lang w:val="en-US" w:eastAsia="zh-CN"/>
        </w:rPr>
        <w:t>2套</w:t>
      </w:r>
      <w:r>
        <w:rPr>
          <w:rFonts w:hint="eastAsia" w:ascii="宋体" w:hAnsi="宋体" w:eastAsia="宋体" w:cs="宋体"/>
          <w:color w:val="auto"/>
          <w:sz w:val="21"/>
          <w:szCs w:val="21"/>
          <w:highlight w:val="none"/>
        </w:rPr>
        <w:t>供评审）</w:t>
      </w:r>
    </w:p>
    <w:p w14:paraId="67A964E9">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.开标与评审日：</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rPr>
        <w:t>前</w:t>
      </w:r>
    </w:p>
    <w:p w14:paraId="5A57808B">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.合同签订日</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企业将样衣送有资质的检测机构进行检测，取得合格报告且中标公示无异议后方可签订合同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rPr>
        <w:t>前</w:t>
      </w:r>
    </w:p>
    <w:p w14:paraId="478CE1A3">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.最终交货日：</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rPr>
        <w:t>前</w:t>
      </w:r>
    </w:p>
    <w:p w14:paraId="1C026222">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.验收完成日：</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rPr>
        <w:t>前</w:t>
      </w:r>
    </w:p>
    <w:p w14:paraId="31A6FD38">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.校服发放日：</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rPr>
        <w:t>前</w:t>
      </w:r>
    </w:p>
    <w:p w14:paraId="5F0B6DCB">
      <w:pPr>
        <w:spacing w:before="200" w:after="100"/>
        <w:jc w:val="left"/>
        <w:outlineLvl w:val="0"/>
        <w:rPr>
          <w:rFonts w:ascii="黑体" w:eastAsia="黑体" w:hAnsiTheme="minorEastAsia" w:cstheme="minorEastAsia"/>
          <w:color w:val="auto"/>
          <w:sz w:val="32"/>
          <w:highlight w:val="none"/>
        </w:rPr>
      </w:pPr>
      <w:r>
        <w:rPr>
          <w:rFonts w:hint="eastAsia" w:ascii="黑体" w:hAnsi="宋体" w:eastAsia="黑体" w:cs="宋体"/>
          <w:color w:val="auto"/>
          <w:sz w:val="32"/>
          <w:highlight w:val="none"/>
          <w:lang w:val="en-US" w:eastAsia="zh-CN"/>
        </w:rPr>
        <w:t>六</w:t>
      </w:r>
      <w:r>
        <w:rPr>
          <w:rFonts w:hint="eastAsia" w:ascii="黑体" w:hAnsi="宋体" w:eastAsia="黑体" w:cs="宋体"/>
          <w:color w:val="auto"/>
          <w:sz w:val="32"/>
          <w:highlight w:val="none"/>
        </w:rPr>
        <w:t>、</w:t>
      </w:r>
      <w:r>
        <w:rPr>
          <w:rFonts w:hint="eastAsia" w:ascii="黑体" w:eastAsia="黑体" w:hAnsiTheme="minorEastAsia" w:cstheme="minorEastAsia"/>
          <w:color w:val="auto"/>
          <w:sz w:val="32"/>
          <w:highlight w:val="none"/>
        </w:rPr>
        <w:t>质量监督与验收</w:t>
      </w:r>
    </w:p>
    <w:p w14:paraId="415FDB88">
      <w:pPr>
        <w:spacing w:before="200" w:after="100"/>
        <w:jc w:val="left"/>
        <w:outlineLvl w:val="1"/>
        <w:rPr>
          <w:rFonts w:ascii="楷体" w:eastAsia="楷体" w:hAnsiTheme="minorEastAsia" w:cstheme="minorEastAsia"/>
          <w:color w:val="auto"/>
          <w:sz w:val="32"/>
          <w:highlight w:val="none"/>
        </w:rPr>
      </w:pPr>
      <w:r>
        <w:rPr>
          <w:rFonts w:hint="eastAsia" w:ascii="楷体" w:eastAsia="楷体" w:hAnsiTheme="minorEastAsia" w:cstheme="minorEastAsia"/>
          <w:color w:val="auto"/>
          <w:sz w:val="32"/>
          <w:highlight w:val="none"/>
        </w:rPr>
        <w:t>（一）检测标准</w:t>
      </w:r>
    </w:p>
    <w:p w14:paraId="45EFBE6F">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w:t>
      </w:r>
      <w:r>
        <w:rPr>
          <w:rFonts w:hint="eastAsia" w:ascii="宋体" w:hAnsi="宋体" w:eastAsia="宋体" w:cs="宋体"/>
          <w:color w:val="auto"/>
          <w:sz w:val="21"/>
          <w:szCs w:val="21"/>
          <w:highlight w:val="none"/>
          <w:lang w:val="en-US" w:eastAsia="zh-CN"/>
        </w:rPr>
        <w:t>省、直辖市及以上“技术监督部门依法授权的服装质检部门”</w:t>
      </w:r>
      <w:r>
        <w:rPr>
          <w:rFonts w:hint="eastAsia" w:ascii="宋体" w:hAnsi="宋体" w:eastAsia="宋体" w:cs="宋体"/>
          <w:color w:val="auto"/>
          <w:sz w:val="21"/>
          <w:szCs w:val="21"/>
          <w:highlight w:val="none"/>
        </w:rPr>
        <w:t>对校服进行检测，检测项目包括但不限于甲醛含量、PH值、可分解致癌芳香胺染料、耐水色牢度、耐酸汗渍色牢度、耐碱汗渍色牢度、耐干摩擦色牢度、耐湿摩擦色牢度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纤维含量、</w:t>
      </w:r>
      <w:r>
        <w:rPr>
          <w:rFonts w:hint="eastAsia" w:ascii="宋体" w:hAnsi="宋体" w:eastAsia="宋体" w:cs="宋体"/>
          <w:color w:val="auto"/>
          <w:sz w:val="21"/>
          <w:szCs w:val="21"/>
          <w:highlight w:val="none"/>
          <w:lang w:val="en-US" w:eastAsia="zh-CN"/>
        </w:rPr>
        <w:t>耐光色牢度、耐光汗复合色牢度、耐皂洗色牢度、起球、绳带、金属残留针、接缝强力</w:t>
      </w:r>
      <w:r>
        <w:rPr>
          <w:rFonts w:hint="eastAsia" w:ascii="宋体" w:hAnsi="宋体" w:eastAsia="宋体" w:cs="宋体"/>
          <w:color w:val="auto"/>
          <w:sz w:val="21"/>
          <w:szCs w:val="21"/>
          <w:highlight w:val="none"/>
        </w:rPr>
        <w:t>等</w:t>
      </w:r>
      <w:r>
        <w:rPr>
          <w:rFonts w:hint="eastAsia" w:ascii="宋体" w:hAnsi="宋体" w:eastAsia="宋体" w:cs="宋体"/>
          <w:color w:val="auto"/>
          <w:sz w:val="21"/>
          <w:szCs w:val="21"/>
          <w:highlight w:val="none"/>
          <w:lang w:val="en-US" w:eastAsia="zh-CN"/>
        </w:rPr>
        <w:t>16项</w:t>
      </w:r>
      <w:r>
        <w:rPr>
          <w:rFonts w:hint="eastAsia" w:ascii="宋体" w:hAnsi="宋体" w:eastAsia="宋体" w:cs="宋体"/>
          <w:color w:val="auto"/>
          <w:sz w:val="21"/>
          <w:szCs w:val="21"/>
          <w:highlight w:val="none"/>
        </w:rPr>
        <w:t>关键指标，检测结果需符合国家相关安全标准。检测</w:t>
      </w:r>
      <w:r>
        <w:rPr>
          <w:rFonts w:hint="eastAsia" w:ascii="宋体" w:hAnsi="宋体" w:eastAsia="宋体" w:cs="宋体"/>
          <w:color w:val="auto"/>
          <w:sz w:val="21"/>
          <w:szCs w:val="21"/>
          <w:highlight w:val="none"/>
          <w:lang w:val="en-US" w:eastAsia="zh-CN"/>
        </w:rPr>
        <w:t>结果</w:t>
      </w:r>
      <w:r>
        <w:rPr>
          <w:rFonts w:hint="eastAsia" w:ascii="宋体" w:hAnsi="宋体" w:eastAsia="宋体" w:cs="宋体"/>
          <w:color w:val="auto"/>
          <w:sz w:val="21"/>
          <w:szCs w:val="21"/>
          <w:highlight w:val="none"/>
        </w:rPr>
        <w:t>将在学校官网、公告栏进行公示，接受家长与社会监督。</w:t>
      </w:r>
    </w:p>
    <w:p w14:paraId="56BC335D">
      <w:pPr>
        <w:spacing w:before="200" w:after="100"/>
        <w:jc w:val="left"/>
        <w:outlineLvl w:val="1"/>
        <w:rPr>
          <w:rFonts w:ascii="楷体" w:eastAsia="楷体" w:hAnsiTheme="minorEastAsia" w:cstheme="minorEastAsia"/>
          <w:color w:val="auto"/>
          <w:sz w:val="32"/>
          <w:highlight w:val="none"/>
        </w:rPr>
      </w:pPr>
      <w:r>
        <w:rPr>
          <w:rFonts w:hint="eastAsia" w:ascii="楷体" w:eastAsia="楷体" w:hAnsiTheme="minorEastAsia" w:cstheme="minorEastAsia"/>
          <w:color w:val="auto"/>
          <w:sz w:val="32"/>
          <w:highlight w:val="none"/>
        </w:rPr>
        <w:t>（二）验收流程</w:t>
      </w:r>
    </w:p>
    <w:p w14:paraId="49FCF6E7">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1.校服初验：供应商交货后，组织验收工作组（学校代表</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人，家长代表</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人）核对校服的种类、数量、包装、标识等是否符合合同约定，对外观、做工进行初步检查，排查明显瑕疵。</w:t>
      </w:r>
      <w:r>
        <w:rPr>
          <w:rFonts w:hint="eastAsia" w:ascii="宋体" w:hAnsi="宋体" w:eastAsia="宋体" w:cs="宋体"/>
          <w:color w:val="auto"/>
          <w:sz w:val="21"/>
          <w:szCs w:val="21"/>
          <w:highlight w:val="none"/>
          <w:lang w:val="en-US" w:eastAsia="zh-CN"/>
        </w:rPr>
        <w:t>查阅样衣检测报告，</w:t>
      </w:r>
      <w:r>
        <w:rPr>
          <w:rFonts w:hint="eastAsia" w:ascii="宋体" w:hAnsi="宋体" w:eastAsia="宋体" w:cs="宋体"/>
          <w:color w:val="auto"/>
          <w:sz w:val="21"/>
          <w:szCs w:val="21"/>
          <w:highlight w:val="none"/>
        </w:rPr>
        <w:t>将成衣校服与中标供应商投标时提供的样衣进行比对初验。</w:t>
      </w:r>
    </w:p>
    <w:p w14:paraId="4DCE0125">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2.二次抽</w:t>
      </w:r>
      <w:r>
        <w:rPr>
          <w:rFonts w:hint="eastAsia" w:ascii="宋体" w:hAnsi="宋体" w:eastAsia="宋体" w:cs="宋体"/>
          <w:color w:val="auto"/>
          <w:sz w:val="21"/>
          <w:szCs w:val="21"/>
          <w:highlight w:val="none"/>
          <w:lang w:val="en-US" w:eastAsia="zh-CN"/>
        </w:rPr>
        <w:t>样送检</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初验合格后，</w:t>
      </w:r>
      <w:r>
        <w:rPr>
          <w:rFonts w:hint="eastAsia" w:ascii="宋体" w:hAnsi="宋体" w:eastAsia="宋体" w:cs="宋体"/>
          <w:color w:val="auto"/>
          <w:sz w:val="21"/>
          <w:szCs w:val="21"/>
          <w:highlight w:val="none"/>
        </w:rPr>
        <w:t>验收工作组从各款式校服中随机抽取各成衣3件（一份检测，二份留样），</w:t>
      </w:r>
      <w:r>
        <w:rPr>
          <w:rFonts w:hint="eastAsia" w:ascii="仿宋_GB2312" w:hAnsi="仿宋_GB2312" w:eastAsia="仿宋_GB2312" w:cs="仿宋_GB2312"/>
          <w:bCs/>
          <w:color w:val="auto"/>
          <w:sz w:val="24"/>
          <w:szCs w:val="24"/>
          <w:highlight w:val="none"/>
          <w:lang w:val="en-US" w:eastAsia="zh-CN"/>
        </w:rPr>
        <w:t>密封并</w:t>
      </w:r>
      <w:r>
        <w:rPr>
          <w:rFonts w:hint="eastAsia" w:ascii="宋体" w:hAnsi="宋体" w:eastAsia="宋体" w:cs="宋体"/>
          <w:color w:val="auto"/>
          <w:sz w:val="21"/>
          <w:szCs w:val="21"/>
          <w:highlight w:val="none"/>
          <w:lang w:val="en-US" w:eastAsia="zh-CN"/>
        </w:rPr>
        <w:t>在封条上签字盖章，送检校服交由省、直辖市及以上“技术监督部门依法授权的服装质检部门”进行二次检验</w:t>
      </w:r>
      <w:r>
        <w:rPr>
          <w:rFonts w:hint="eastAsia" w:ascii="宋体" w:hAnsi="宋体" w:eastAsia="宋体" w:cs="宋体"/>
          <w:color w:val="auto"/>
          <w:sz w:val="21"/>
          <w:szCs w:val="21"/>
          <w:highlight w:val="none"/>
        </w:rPr>
        <w:t>，检测费用由学校承担，确保批量产品质量达标。</w:t>
      </w:r>
    </w:p>
    <w:p w14:paraId="4E12B5C0">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3.学生试穿反馈：组织</w:t>
      </w:r>
      <w:r>
        <w:rPr>
          <w:rFonts w:hint="eastAsia" w:ascii="仿宋_GB2312" w:hAnsi="仿宋_GB2312" w:eastAsia="仿宋_GB2312" w:cs="仿宋_GB2312"/>
          <w:bCs/>
          <w:color w:val="auto"/>
          <w:sz w:val="24"/>
          <w:szCs w:val="24"/>
          <w:highlight w:val="none"/>
          <w:lang w:val="en-US" w:eastAsia="zh-CN"/>
        </w:rPr>
        <w:t>采购年级</w:t>
      </w:r>
      <w:r>
        <w:rPr>
          <w:rFonts w:hint="eastAsia" w:ascii="宋体" w:hAnsi="宋体" w:eastAsia="宋体" w:cs="宋体"/>
          <w:color w:val="auto"/>
          <w:sz w:val="21"/>
          <w:szCs w:val="21"/>
          <w:highlight w:val="none"/>
        </w:rPr>
        <w:t>部分学生试穿校服，收集学生及家长关于尺码适配性、穿着舒适度、面料手感等方面的反馈意见。</w:t>
      </w:r>
    </w:p>
    <w:p w14:paraId="4E3F1866">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学校终验</w:t>
      </w:r>
      <w:r>
        <w:rPr>
          <w:rFonts w:hint="eastAsia" w:ascii="宋体" w:hAnsi="宋体" w:eastAsia="宋体" w:cs="宋体"/>
          <w:color w:val="auto"/>
          <w:sz w:val="21"/>
          <w:szCs w:val="21"/>
          <w:highlight w:val="none"/>
        </w:rPr>
        <w:t>：结合初验结果、二次抽测报告及试穿反馈意见，验收工作组（学校代表</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人，家长代表</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人）召开验收会议，形成验收结论。验收合格的，签署验收合格文件</w:t>
      </w:r>
      <w:r>
        <w:rPr>
          <w:rFonts w:hint="eastAsia" w:ascii="宋体" w:hAnsi="宋体" w:eastAsia="宋体" w:cs="宋体"/>
          <w:color w:val="auto"/>
          <w:sz w:val="21"/>
          <w:szCs w:val="21"/>
          <w:highlight w:val="none"/>
          <w:lang w:eastAsia="zh-CN"/>
        </w:rPr>
        <w:t>。</w:t>
      </w:r>
    </w:p>
    <w:p w14:paraId="5993F742">
      <w:pPr>
        <w:spacing w:line="360" w:lineRule="auto"/>
        <w:ind w:firstLine="482"/>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5.验收不合格：</w:t>
      </w:r>
    </w:p>
    <w:p w14:paraId="697FCAE4">
      <w:pPr>
        <w:spacing w:line="360" w:lineRule="auto"/>
        <w:ind w:firstLine="482"/>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学校按照前述验收过程进行验收。如初验，产品不符合验收要点要求，则认为所送产品不合格，将全部退货，重新生产；如终验，产品不符合相关技术参数或者安全要求，则认为所送产品不合格，乙方书面形式提出复检，经学校及校服选用组织同意后，委托省、直辖市及以上“技术监督部门依法授权的服装质检部门”复检，检测费用由乙方承担。甲、乙双方需服从复检结论，若仍有项目不合格的，乙方将被取消中标资格，学校有权直接解除合同、退回所有校服，并上报区教育局列入校服供应“黑名单”，五年内不得供应校服。学校将重新组织招标。</w:t>
      </w:r>
    </w:p>
    <w:p w14:paraId="0480AE8B">
      <w:pPr>
        <w:spacing w:before="200" w:after="100"/>
        <w:jc w:val="left"/>
        <w:outlineLvl w:val="1"/>
        <w:rPr>
          <w:rFonts w:ascii="楷体" w:eastAsia="楷体" w:hAnsiTheme="minorEastAsia" w:cstheme="minorEastAsia"/>
          <w:color w:val="auto"/>
          <w:sz w:val="32"/>
          <w:highlight w:val="none"/>
        </w:rPr>
      </w:pPr>
      <w:r>
        <w:rPr>
          <w:rFonts w:hint="eastAsia" w:ascii="楷体" w:eastAsia="楷体" w:hAnsiTheme="minorEastAsia" w:cstheme="minorEastAsia"/>
          <w:color w:val="auto"/>
          <w:sz w:val="32"/>
          <w:highlight w:val="none"/>
        </w:rPr>
        <w:t>（三）费用管理与支付方式</w:t>
      </w:r>
    </w:p>
    <w:p w14:paraId="3352A1DF">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1.费用支付：校服费用由家长承担。学校按照本级财政要求的方式进行代收代付，专款专用，不得挪用、截留。付款为一次性付款，在校服验收合格并全部发放完成后，学校向供应商支付全部采购款项。</w:t>
      </w:r>
    </w:p>
    <w:p w14:paraId="741A9735">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2.二次检测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费用由学校经费构成。</w:t>
      </w:r>
    </w:p>
    <w:p w14:paraId="7B5BDB1A">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3.价格透明：中标价格即为最终零售价，一价到底，并向全体家长公示。</w:t>
      </w:r>
    </w:p>
    <w:p w14:paraId="53715DCD">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4.贫困补助：设立校服专项补助基金，对家庭经济困难的学生（凭有效证明）提供全额或部分补贴，基金由学校经费或社会捐助构成。</w:t>
      </w:r>
    </w:p>
    <w:p w14:paraId="5ACAC4C3">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lang w:val="en-US" w:eastAsia="zh-CN"/>
        </w:rPr>
        <w:t>七</w:t>
      </w:r>
      <w:r>
        <w:rPr>
          <w:rFonts w:hint="eastAsia" w:ascii="黑体" w:hAnsi="宋体" w:eastAsia="黑体" w:cs="宋体"/>
          <w:color w:val="auto"/>
          <w:sz w:val="32"/>
          <w:highlight w:val="none"/>
        </w:rPr>
        <w:t>、风险控制与应急预案</w:t>
      </w:r>
    </w:p>
    <w:p w14:paraId="24B63592">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（一）风险点</w:t>
      </w:r>
    </w:p>
    <w:p w14:paraId="29C4327B">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1.招标质疑投诉：可能出现供应商对招标流程、评审结果提出质疑或投诉的情况。</w:t>
      </w:r>
    </w:p>
    <w:p w14:paraId="7EFB0F0E">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2.供应商延迟交货：受生产进度、物流运输等因素影响，供应商可能无法按时交付校服。</w:t>
      </w:r>
    </w:p>
    <w:p w14:paraId="208401AB">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3.质量不达标：校服可能存在检测不合格、做工瑕疵、面料不符合要求等质量问题。</w:t>
      </w:r>
    </w:p>
    <w:p w14:paraId="6B396131">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4.家长投诉：家长可能对校服的款式、材质、价格、尺码等方面提出投诉。</w:t>
      </w:r>
    </w:p>
    <w:p w14:paraId="20D8FCA4">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5.廉政举报：采购过程中可能出现违规操作、利益输送等廉政风险，引发举报。</w:t>
      </w:r>
    </w:p>
    <w:p w14:paraId="50CE7D94">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 xml:space="preserve"> （二）应对措施</w:t>
      </w:r>
    </w:p>
    <w:p w14:paraId="340B4B6F">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1.针对招标质疑投诉：制定质疑投诉处理流程，安排专人负责接收与答复；招标全过程做好记录，留存相关资料，确保流程可追溯；对合理质疑及时处理，对投诉事项按规定移交相关部门核查。</w:t>
      </w:r>
    </w:p>
    <w:p w14:paraId="27B9F683">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2.针对供应商延迟交货：</w:t>
      </w:r>
      <w:r>
        <w:rPr>
          <w:rFonts w:hint="eastAsia" w:ascii="宋体" w:hAnsi="宋体" w:eastAsia="宋体" w:cs="宋体"/>
          <w:color w:val="auto"/>
          <w:sz w:val="21"/>
          <w:szCs w:val="21"/>
          <w:highlight w:val="none"/>
        </w:rPr>
        <w:t>在合同中明确延迟交货的违约金条款，供应商每延期到货一日，按合同总标的 0.5 %支付违约金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超出</w:t>
      </w:r>
      <w:r>
        <w:rPr>
          <w:rFonts w:hint="eastAsia" w:ascii="宋体" w:hAnsi="宋体" w:eastAsia="宋体" w:cs="宋体"/>
          <w:color w:val="auto"/>
          <w:sz w:val="21"/>
          <w:szCs w:val="21"/>
          <w:highlight w:val="none"/>
          <w:lang w:val="en-US" w:eastAsia="zh-CN"/>
        </w:rPr>
        <w:t>壹</w:t>
      </w:r>
      <w:r>
        <w:rPr>
          <w:rFonts w:hint="eastAsia" w:ascii="宋体" w:hAnsi="宋体" w:eastAsia="宋体" w:cs="宋体"/>
          <w:color w:val="auto"/>
          <w:sz w:val="21"/>
          <w:szCs w:val="21"/>
          <w:highlight w:val="none"/>
        </w:rPr>
        <w:t>日乙方仍无法交货的，，甲方有权解除合同及按前述标准主张违约金。</w:t>
      </w:r>
    </w:p>
    <w:p w14:paraId="67830C2C">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3.针对质量不达标：严格执行验收流程，一旦发现质量问题，立即要求供应商返工或更换；情节严重的，解除合同并追究违约责任；将质量不合格的供应商列入黑名单，禁止其参与学校后续采购项目。</w:t>
      </w:r>
    </w:p>
    <w:p w14:paraId="579D6E8F">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4.针对家长投诉：建立家长沟通协调机制，</w:t>
      </w:r>
      <w:r>
        <w:rPr>
          <w:rFonts w:hint="eastAsia" w:ascii="宋体" w:hAnsi="宋体" w:eastAsia="宋体" w:cs="宋体"/>
          <w:color w:val="auto"/>
          <w:sz w:val="21"/>
          <w:szCs w:val="21"/>
          <w:highlight w:val="none"/>
          <w:lang w:val="en-US" w:eastAsia="zh-CN"/>
        </w:rPr>
        <w:t>畅通监督举报和信息反馈渠道</w:t>
      </w:r>
      <w:r>
        <w:rPr>
          <w:rFonts w:hint="eastAsia" w:ascii="宋体" w:hAnsi="宋体" w:eastAsia="宋体" w:cs="宋体"/>
          <w:color w:val="auto"/>
          <w:sz w:val="21"/>
          <w:szCs w:val="21"/>
          <w:highlight w:val="none"/>
        </w:rPr>
        <w:t>，及时回应家长诉求；对家长反映的问题进行分类处理，能即时解决的当场回应，需核实处理的在3个工作日内给出解决方案。</w:t>
      </w:r>
    </w:p>
    <w:p w14:paraId="1B74E988">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针对廉政风险：严格执行采购相关法律法规，规范采购流程；成立专项监督小组，全程监督采购过程；实行廉政承诺制，采购工作人员与供应商签订廉政承诺书，杜绝违规操作；对廉政举报线索及时核查，一经查实，严肃追究相关人员责任。</w:t>
      </w:r>
    </w:p>
    <w:p w14:paraId="1A8A412F">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lang w:val="en-US" w:eastAsia="zh-CN"/>
        </w:rPr>
        <w:t>八</w:t>
      </w:r>
      <w:r>
        <w:rPr>
          <w:rFonts w:hint="eastAsia" w:ascii="黑体" w:hAnsi="宋体" w:eastAsia="黑体" w:cs="宋体"/>
          <w:color w:val="auto"/>
          <w:sz w:val="32"/>
          <w:highlight w:val="none"/>
        </w:rPr>
        <w:t>、监督</w:t>
      </w:r>
    </w:p>
    <w:p w14:paraId="124548C6">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（一）岗位设置规范</w:t>
      </w:r>
    </w:p>
    <w:p w14:paraId="5E86B9D1">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严格规范不相容岗位设置，采购申请、招标组织、合同签订、付款审核、质量验收等岗位分设，明确各岗位职责，避免一人多岗引发的风险。</w:t>
      </w:r>
    </w:p>
    <w:p w14:paraId="76F1DD3B">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 xml:space="preserve"> （二）专项监督工作组</w:t>
      </w:r>
    </w:p>
    <w:p w14:paraId="2A92B7D4">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成立由</w:t>
      </w:r>
      <w:r>
        <w:rPr>
          <w:rFonts w:hint="eastAsia" w:ascii="宋体" w:hAnsi="宋体" w:eastAsia="宋体" w:cs="宋体"/>
          <w:color w:val="auto"/>
          <w:sz w:val="21"/>
          <w:szCs w:val="21"/>
          <w:highlight w:val="none"/>
          <w:lang w:val="en-US" w:eastAsia="zh-CN"/>
        </w:rPr>
        <w:t>学校</w:t>
      </w:r>
      <w:r>
        <w:rPr>
          <w:rFonts w:hint="eastAsia" w:ascii="宋体" w:hAnsi="宋体" w:eastAsia="宋体" w:cs="宋体"/>
          <w:color w:val="auto"/>
          <w:sz w:val="21"/>
          <w:szCs w:val="21"/>
          <w:highlight w:val="none"/>
        </w:rPr>
        <w:t>代表、</w:t>
      </w:r>
      <w:r>
        <w:rPr>
          <w:rFonts w:hint="eastAsia" w:ascii="宋体" w:hAnsi="宋体" w:eastAsia="宋体" w:cs="宋体"/>
          <w:color w:val="auto"/>
          <w:sz w:val="21"/>
          <w:szCs w:val="21"/>
          <w:highlight w:val="none"/>
          <w:lang w:val="en-US" w:eastAsia="zh-CN"/>
        </w:rPr>
        <w:t>学校</w:t>
      </w:r>
      <w:r>
        <w:rPr>
          <w:rFonts w:hint="eastAsia" w:ascii="宋体" w:hAnsi="宋体" w:eastAsia="宋体" w:cs="宋体"/>
          <w:color w:val="auto"/>
          <w:sz w:val="21"/>
          <w:szCs w:val="21"/>
          <w:highlight w:val="none"/>
        </w:rPr>
        <w:t>财务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家长代表</w:t>
      </w:r>
      <w:r>
        <w:rPr>
          <w:rFonts w:hint="eastAsia" w:ascii="宋体" w:hAnsi="宋体" w:eastAsia="宋体" w:cs="宋体"/>
          <w:color w:val="auto"/>
          <w:sz w:val="21"/>
          <w:szCs w:val="21"/>
          <w:highlight w:val="none"/>
        </w:rPr>
        <w:t>的专项监督工作组，全程参与采购方案制定、招标评审、合同签订、质量验收等关键环节，对采购过程进行全面监督。</w:t>
      </w:r>
    </w:p>
    <w:p w14:paraId="7E434205">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 xml:space="preserve"> （三）信息公开公示</w:t>
      </w:r>
    </w:p>
    <w:p w14:paraId="062A1A43">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师生和家长公示校服买购相关信息，包括征求家长意见结果、“三重一大”会议决定、校服采购工作方案、校服选用组织构成情况、选用招标代理机构情况、公开招标信息和文件、招标结果公示、合同签订情况、二次送检结</w:t>
      </w:r>
      <w:r>
        <w:rPr>
          <w:rFonts w:hint="eastAsia" w:ascii="宋体" w:hAnsi="宋体" w:eastAsia="宋体" w:cs="宋体"/>
          <w:color w:val="auto"/>
          <w:sz w:val="21"/>
          <w:szCs w:val="21"/>
          <w:highlight w:val="none"/>
          <w:lang w:val="en-US" w:eastAsia="zh-CN"/>
        </w:rPr>
        <w:t>果、校服费用收支情况等相关事项，主动接受社会监督</w:t>
      </w:r>
      <w:r>
        <w:rPr>
          <w:rFonts w:hint="eastAsia" w:ascii="宋体" w:hAnsi="宋体" w:eastAsia="宋体" w:cs="宋体"/>
          <w:color w:val="auto"/>
          <w:sz w:val="21"/>
          <w:szCs w:val="21"/>
          <w:highlight w:val="none"/>
        </w:rPr>
        <w:t>。</w:t>
      </w:r>
    </w:p>
    <w:p w14:paraId="11D1AC7A">
      <w:pPr>
        <w:spacing w:before="200" w:after="100"/>
        <w:jc w:val="left"/>
        <w:outlineLvl w:val="0"/>
        <w:rPr>
          <w:rFonts w:hint="eastAsia" w:ascii="黑体" w:hAnsi="宋体" w:eastAsia="黑体" w:cs="宋体"/>
          <w:color w:val="auto"/>
          <w:sz w:val="32"/>
          <w:highlight w:val="none"/>
          <w:lang w:val="en-US" w:eastAsia="zh-CN"/>
        </w:rPr>
      </w:pPr>
      <w:r>
        <w:rPr>
          <w:rFonts w:hint="eastAsia" w:ascii="黑体" w:hAnsi="宋体" w:eastAsia="黑体" w:cs="宋体"/>
          <w:color w:val="auto"/>
          <w:sz w:val="32"/>
          <w:highlight w:val="none"/>
          <w:lang w:val="en-US" w:eastAsia="zh-CN"/>
        </w:rPr>
        <w:t>九</w:t>
      </w:r>
      <w:r>
        <w:rPr>
          <w:rFonts w:hint="eastAsia" w:ascii="黑体" w:hAnsi="宋体" w:eastAsia="黑体" w:cs="宋体"/>
          <w:color w:val="auto"/>
          <w:sz w:val="32"/>
          <w:highlight w:val="none"/>
        </w:rPr>
        <w:t>、其它</w:t>
      </w:r>
      <w:r>
        <w:rPr>
          <w:rFonts w:hint="eastAsia" w:ascii="黑体" w:hAnsi="宋体" w:eastAsia="黑体" w:cs="宋体"/>
          <w:color w:val="auto"/>
          <w:sz w:val="32"/>
          <w:highlight w:val="none"/>
          <w:lang w:val="en-US" w:eastAsia="zh-CN"/>
        </w:rPr>
        <w:t>事项</w:t>
      </w:r>
    </w:p>
    <w:p w14:paraId="2F5A3768">
      <w:pPr>
        <w:spacing w:line="360" w:lineRule="auto"/>
        <w:ind w:firstLine="482"/>
        <w:jc w:val="left"/>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rPr>
        <w:t>1.</w:t>
      </w:r>
      <w:r>
        <w:rPr>
          <w:rFonts w:hint="eastAsia" w:ascii="宋体" w:hAnsi="宋体" w:eastAsia="宋体" w:cs="宋体"/>
          <w:bCs w:val="0"/>
          <w:color w:val="auto"/>
          <w:sz w:val="21"/>
          <w:szCs w:val="21"/>
          <w:highlight w:val="none"/>
          <w:lang w:val="en-US" w:eastAsia="zh-CN"/>
        </w:rPr>
        <w:t>知识产权约定：</w:t>
      </w:r>
    </w:p>
    <w:p w14:paraId="5FACF256">
      <w:pPr>
        <w:widowControl/>
        <w:spacing w:before="0" w:line="360" w:lineRule="auto"/>
        <w:ind w:left="0" w:right="0" w:firstLine="482" w:firstLineChars="0"/>
        <w:jc w:val="left"/>
        <w:rPr>
          <w:rFonts w:hint="eastAsia" w:ascii="宋体" w:hAnsi="宋体" w:eastAsia="宋体" w:cs="宋体"/>
          <w:bCs w:val="0"/>
          <w:color w:val="auto"/>
          <w:spacing w:val="0"/>
          <w:sz w:val="21"/>
          <w:szCs w:val="21"/>
          <w:highlight w:val="none"/>
        </w:rPr>
      </w:pPr>
      <w:r>
        <w:rPr>
          <w:rFonts w:hint="eastAsia" w:ascii="宋体" w:hAnsi="宋体" w:eastAsia="宋体" w:cs="宋体"/>
          <w:bCs w:val="0"/>
          <w:color w:val="auto"/>
          <w:spacing w:val="0"/>
          <w:sz w:val="21"/>
          <w:szCs w:val="21"/>
          <w:highlight w:val="none"/>
        </w:rPr>
        <w:t>（1）本项目校服款式、配色、校标标识、版型工艺均为学校长期沿用的定型款式，</w:t>
      </w:r>
      <w:r>
        <w:rPr>
          <w:rFonts w:hint="eastAsia" w:ascii="宋体" w:hAnsi="宋体" w:eastAsia="宋体" w:cs="宋体"/>
          <w:bCs w:val="0"/>
          <w:color w:val="auto"/>
          <w:spacing w:val="0"/>
          <w:sz w:val="21"/>
          <w:szCs w:val="21"/>
          <w:highlight w:val="none"/>
          <w:lang w:val="en-US" w:eastAsia="zh-CN"/>
        </w:rPr>
        <w:t>供应商</w:t>
      </w:r>
      <w:r>
        <w:rPr>
          <w:rFonts w:hint="eastAsia" w:ascii="宋体" w:hAnsi="宋体" w:eastAsia="宋体" w:cs="宋体"/>
          <w:bCs w:val="0"/>
          <w:color w:val="auto"/>
          <w:spacing w:val="0"/>
          <w:sz w:val="21"/>
          <w:szCs w:val="21"/>
          <w:highlight w:val="none"/>
        </w:rPr>
        <w:t>参与本次投标及供货，即视为完全认可学校对该款式的授权期限至2035年12月31日的合法使用权，自愿放弃对该款式一切潜在知识产权主张，后续不得以此为由向</w:t>
      </w:r>
      <w:r>
        <w:rPr>
          <w:rFonts w:hint="eastAsia" w:ascii="宋体" w:hAnsi="宋体" w:eastAsia="宋体" w:cs="宋体"/>
          <w:bCs w:val="0"/>
          <w:color w:val="auto"/>
          <w:spacing w:val="0"/>
          <w:sz w:val="21"/>
          <w:szCs w:val="21"/>
          <w:highlight w:val="none"/>
          <w:lang w:val="en-US" w:eastAsia="zh-CN"/>
        </w:rPr>
        <w:t>学校</w:t>
      </w:r>
      <w:r>
        <w:rPr>
          <w:rFonts w:hint="eastAsia" w:ascii="宋体" w:hAnsi="宋体" w:eastAsia="宋体" w:cs="宋体"/>
          <w:bCs w:val="0"/>
          <w:color w:val="auto"/>
          <w:spacing w:val="0"/>
          <w:sz w:val="21"/>
          <w:szCs w:val="21"/>
          <w:highlight w:val="none"/>
        </w:rPr>
        <w:t>提出索赔、追责、限制使用等任何诉求。</w:t>
      </w:r>
    </w:p>
    <w:p w14:paraId="0BA6AFF7">
      <w:pPr>
        <w:widowControl/>
        <w:spacing w:before="0" w:line="360" w:lineRule="auto"/>
        <w:ind w:left="0" w:right="0" w:firstLine="482" w:firstLineChars="0"/>
        <w:jc w:val="left"/>
        <w:rPr>
          <w:rFonts w:hint="eastAsia" w:ascii="宋体" w:hAnsi="宋体" w:eastAsia="宋体" w:cs="宋体"/>
          <w:bCs w:val="0"/>
          <w:color w:val="auto"/>
          <w:spacing w:val="0"/>
          <w:sz w:val="21"/>
          <w:szCs w:val="21"/>
          <w:highlight w:val="none"/>
        </w:rPr>
      </w:pPr>
      <w:r>
        <w:rPr>
          <w:rFonts w:hint="eastAsia" w:ascii="宋体" w:hAnsi="宋体" w:eastAsia="宋体" w:cs="宋体"/>
          <w:bCs w:val="0"/>
          <w:color w:val="auto"/>
          <w:spacing w:val="0"/>
          <w:sz w:val="21"/>
          <w:szCs w:val="21"/>
          <w:highlight w:val="none"/>
        </w:rPr>
        <w:t>（2）</w:t>
      </w:r>
      <w:r>
        <w:rPr>
          <w:rFonts w:hint="eastAsia" w:ascii="宋体" w:hAnsi="宋体" w:eastAsia="宋体" w:cs="宋体"/>
          <w:bCs w:val="0"/>
          <w:color w:val="auto"/>
          <w:spacing w:val="0"/>
          <w:sz w:val="21"/>
          <w:szCs w:val="21"/>
          <w:highlight w:val="none"/>
          <w:lang w:val="en-US" w:eastAsia="zh-CN"/>
        </w:rPr>
        <w:t>供应商</w:t>
      </w:r>
      <w:r>
        <w:rPr>
          <w:rFonts w:hint="eastAsia" w:ascii="宋体" w:hAnsi="宋体" w:eastAsia="宋体" w:cs="宋体"/>
          <w:bCs w:val="0"/>
          <w:color w:val="auto"/>
          <w:spacing w:val="0"/>
          <w:sz w:val="21"/>
          <w:szCs w:val="21"/>
          <w:highlight w:val="none"/>
        </w:rPr>
        <w:t>需完全按照学校现有款式校服标准复刻生产，不得擅自修改版型、配色、标识细节，生产成品需与学校在校沿用校服款式保持高度一致，因</w:t>
      </w:r>
      <w:r>
        <w:rPr>
          <w:rFonts w:hint="eastAsia" w:ascii="宋体" w:hAnsi="宋体" w:eastAsia="宋体" w:cs="宋体"/>
          <w:bCs w:val="0"/>
          <w:color w:val="auto"/>
          <w:spacing w:val="0"/>
          <w:sz w:val="21"/>
          <w:szCs w:val="21"/>
          <w:highlight w:val="none"/>
          <w:lang w:val="en-US" w:eastAsia="zh-CN"/>
        </w:rPr>
        <w:t>供应商私自</w:t>
      </w:r>
      <w:r>
        <w:rPr>
          <w:rFonts w:hint="eastAsia" w:ascii="宋体" w:hAnsi="宋体" w:eastAsia="宋体" w:cs="宋体"/>
          <w:bCs w:val="0"/>
          <w:color w:val="auto"/>
          <w:spacing w:val="0"/>
          <w:sz w:val="21"/>
          <w:szCs w:val="21"/>
          <w:highlight w:val="none"/>
        </w:rPr>
        <w:t>调整工艺、款式细节造成的校服不符、权属争议等问题，由</w:t>
      </w:r>
      <w:r>
        <w:rPr>
          <w:rFonts w:hint="eastAsia" w:ascii="宋体" w:hAnsi="宋体" w:eastAsia="宋体" w:cs="宋体"/>
          <w:bCs w:val="0"/>
          <w:color w:val="auto"/>
          <w:spacing w:val="0"/>
          <w:sz w:val="21"/>
          <w:szCs w:val="21"/>
          <w:highlight w:val="none"/>
          <w:lang w:val="en-US" w:eastAsia="zh-CN"/>
        </w:rPr>
        <w:t>供应商</w:t>
      </w:r>
      <w:r>
        <w:rPr>
          <w:rFonts w:hint="eastAsia" w:ascii="宋体" w:hAnsi="宋体" w:eastAsia="宋体" w:cs="宋体"/>
          <w:bCs w:val="0"/>
          <w:color w:val="auto"/>
          <w:spacing w:val="0"/>
          <w:sz w:val="21"/>
          <w:szCs w:val="21"/>
          <w:highlight w:val="none"/>
        </w:rPr>
        <w:t>承担全部责任。</w:t>
      </w:r>
    </w:p>
    <w:p w14:paraId="466F4E83">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bCs w:val="0"/>
          <w:color w:val="auto"/>
          <w:spacing w:val="0"/>
          <w:sz w:val="21"/>
          <w:szCs w:val="21"/>
          <w:highlight w:val="none"/>
        </w:rPr>
        <w:t>（3）</w:t>
      </w:r>
      <w:r>
        <w:rPr>
          <w:rFonts w:hint="eastAsia" w:ascii="宋体" w:hAnsi="宋体" w:eastAsia="宋体" w:cs="宋体"/>
          <w:bCs w:val="0"/>
          <w:color w:val="auto"/>
          <w:spacing w:val="0"/>
          <w:sz w:val="21"/>
          <w:szCs w:val="21"/>
          <w:highlight w:val="none"/>
          <w:lang w:bidi="ar"/>
        </w:rPr>
        <w:t>合同期限届满后，</w:t>
      </w:r>
      <w:r>
        <w:rPr>
          <w:rFonts w:hint="eastAsia" w:ascii="宋体" w:hAnsi="宋体" w:eastAsia="宋体" w:cs="宋体"/>
          <w:bCs w:val="0"/>
          <w:color w:val="auto"/>
          <w:spacing w:val="0"/>
          <w:sz w:val="21"/>
          <w:szCs w:val="21"/>
          <w:highlight w:val="none"/>
          <w:lang w:val="en-US" w:eastAsia="zh-CN" w:bidi="ar"/>
        </w:rPr>
        <w:t>学校</w:t>
      </w:r>
      <w:r>
        <w:rPr>
          <w:rFonts w:hint="eastAsia" w:ascii="宋体" w:hAnsi="宋体" w:eastAsia="宋体" w:cs="宋体"/>
          <w:bCs w:val="0"/>
          <w:color w:val="auto"/>
          <w:spacing w:val="0"/>
          <w:sz w:val="21"/>
          <w:szCs w:val="21"/>
          <w:highlight w:val="none"/>
          <w:lang w:bidi="ar"/>
        </w:rPr>
        <w:t>在办学存续期间可持续沿用本款校服款式组织采购，</w:t>
      </w:r>
      <w:r>
        <w:rPr>
          <w:rFonts w:hint="eastAsia" w:ascii="宋体" w:hAnsi="宋体" w:eastAsia="宋体" w:cs="宋体"/>
          <w:bCs w:val="0"/>
          <w:color w:val="auto"/>
          <w:spacing w:val="0"/>
          <w:sz w:val="21"/>
          <w:szCs w:val="21"/>
          <w:highlight w:val="none"/>
          <w:lang w:val="en-US" w:eastAsia="zh-CN"/>
        </w:rPr>
        <w:t>供应商</w:t>
      </w:r>
      <w:r>
        <w:rPr>
          <w:rFonts w:hint="eastAsia" w:ascii="宋体" w:hAnsi="宋体" w:eastAsia="宋体" w:cs="宋体"/>
          <w:bCs w:val="0"/>
          <w:color w:val="auto"/>
          <w:spacing w:val="0"/>
          <w:sz w:val="21"/>
          <w:szCs w:val="21"/>
          <w:highlight w:val="none"/>
          <w:lang w:bidi="ar"/>
        </w:rPr>
        <w:t>不得基于知识产权理由阻挠</w:t>
      </w:r>
      <w:r>
        <w:rPr>
          <w:rFonts w:hint="eastAsia" w:ascii="宋体" w:hAnsi="宋体" w:eastAsia="宋体" w:cs="宋体"/>
          <w:bCs w:val="0"/>
          <w:color w:val="auto"/>
          <w:spacing w:val="0"/>
          <w:sz w:val="21"/>
          <w:szCs w:val="21"/>
          <w:highlight w:val="none"/>
          <w:lang w:val="en-US" w:eastAsia="zh-CN" w:bidi="ar"/>
        </w:rPr>
        <w:t>学校</w:t>
      </w:r>
      <w:r>
        <w:rPr>
          <w:rFonts w:hint="eastAsia" w:ascii="宋体" w:hAnsi="宋体" w:eastAsia="宋体" w:cs="宋体"/>
          <w:bCs w:val="0"/>
          <w:color w:val="auto"/>
          <w:spacing w:val="0"/>
          <w:sz w:val="21"/>
          <w:szCs w:val="21"/>
          <w:highlight w:val="none"/>
          <w:lang w:bidi="ar"/>
        </w:rPr>
        <w:t>另行招标、更换供应商。</w:t>
      </w:r>
    </w:p>
    <w:p w14:paraId="30669DD9">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2.供应商需在生产过程中严格保护学生个人信息，不得泄露学生姓名、班级等相关数据。</w:t>
      </w:r>
    </w:p>
    <w:p w14:paraId="63658D38">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3.本方案未尽事宜，由专项工作组协商解决，重大事项报学校领导班子集体研究决定。</w:t>
      </w:r>
    </w:p>
    <w:p w14:paraId="54DD6701">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rPr>
        <w:t>十、 附则</w:t>
      </w:r>
    </w:p>
    <w:p w14:paraId="304CBF5F">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1.本方案经学校专项会议审议通过后实施。</w:t>
      </w:r>
    </w:p>
    <w:p w14:paraId="5FBE5869">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2.采购全过程接受纪检部门、全体师生和家长的监督。</w:t>
      </w:r>
    </w:p>
    <w:p w14:paraId="138AF75A">
      <w:pPr>
        <w:spacing w:line="360" w:lineRule="auto"/>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3.本方案由校服</w:t>
      </w:r>
      <w:r>
        <w:rPr>
          <w:rFonts w:hint="eastAsia" w:ascii="宋体" w:hAnsi="宋体" w:eastAsia="宋体" w:cs="宋体"/>
          <w:color w:val="auto"/>
          <w:sz w:val="21"/>
          <w:szCs w:val="21"/>
          <w:highlight w:val="none"/>
          <w:lang w:val="en-US" w:eastAsia="zh-CN"/>
        </w:rPr>
        <w:t>选用工作小组</w:t>
      </w:r>
      <w:r>
        <w:rPr>
          <w:rFonts w:hint="eastAsia" w:ascii="宋体" w:hAnsi="宋体" w:eastAsia="宋体" w:cs="宋体"/>
          <w:color w:val="auto"/>
          <w:sz w:val="21"/>
          <w:szCs w:val="21"/>
          <w:highlight w:val="none"/>
        </w:rPr>
        <w:t>负责解释。</w:t>
      </w:r>
    </w:p>
    <w:p w14:paraId="23040F95">
      <w:pPr>
        <w:ind w:firstLine="482"/>
        <w:jc w:val="left"/>
        <w:rPr>
          <w:rFonts w:ascii="仿宋" w:eastAsia="仿宋" w:hAnsiTheme="minorEastAsia" w:cstheme="minorEastAsia"/>
          <w:color w:val="auto"/>
          <w:sz w:val="24"/>
          <w:highlight w:val="none"/>
        </w:rPr>
      </w:pPr>
    </w:p>
    <w:p w14:paraId="51FD193E">
      <w:pPr>
        <w:ind w:firstLine="482"/>
        <w:jc w:val="right"/>
        <w:rPr>
          <w:rFonts w:hint="eastAsia" w:ascii="仿宋" w:hAnsi="宋体" w:eastAsia="仿宋" w:cs="宋体"/>
          <w:color w:val="auto"/>
          <w:sz w:val="24"/>
          <w:highlight w:val="none"/>
          <w:lang w:val="en-US" w:eastAsia="zh-CN"/>
        </w:rPr>
      </w:pPr>
    </w:p>
    <w:p w14:paraId="0F985B6C">
      <w:pPr>
        <w:spacing w:line="360" w:lineRule="auto"/>
        <w:ind w:firstLine="482"/>
        <w:jc w:val="right"/>
        <w:rPr>
          <w:rFonts w:hint="eastAsia" w:ascii="仿宋" w:hAnsi="宋体" w:eastAsia="仿宋" w:cs="宋体"/>
          <w:color w:val="auto"/>
          <w:sz w:val="24"/>
          <w:highlight w:val="none"/>
          <w:lang w:val="en-US" w:eastAsia="zh-CN"/>
        </w:rPr>
      </w:pPr>
    </w:p>
    <w:p w14:paraId="0A623805">
      <w:pPr>
        <w:spacing w:line="360" w:lineRule="auto"/>
        <w:ind w:firstLine="482"/>
        <w:jc w:val="righ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苏州市吴江区笠泽实验初级中学</w:t>
      </w:r>
      <w:r>
        <w:rPr>
          <w:rFonts w:hint="eastAsia" w:ascii="宋体" w:hAnsi="宋体" w:eastAsia="宋体" w:cs="宋体"/>
          <w:color w:val="auto"/>
          <w:sz w:val="21"/>
          <w:szCs w:val="21"/>
          <w:highlight w:val="none"/>
        </w:rPr>
        <w:t>校服</w:t>
      </w:r>
      <w:r>
        <w:rPr>
          <w:rFonts w:hint="eastAsia" w:ascii="宋体" w:hAnsi="宋体" w:eastAsia="宋体" w:cs="宋体"/>
          <w:color w:val="auto"/>
          <w:sz w:val="21"/>
          <w:szCs w:val="21"/>
          <w:highlight w:val="none"/>
          <w:lang w:val="en-US" w:eastAsia="zh-CN"/>
        </w:rPr>
        <w:t>选用工作小组</w:t>
      </w:r>
    </w:p>
    <w:p w14:paraId="30822363">
      <w:pPr>
        <w:spacing w:line="360" w:lineRule="auto"/>
        <w:ind w:firstLine="482"/>
        <w:jc w:val="right"/>
        <w:rPr>
          <w:rFonts w:ascii="仿宋" w:eastAsia="仿宋" w:hAnsiTheme="minorEastAsia" w:cstheme="minorEastAsia"/>
          <w:color w:val="auto"/>
          <w:sz w:val="24"/>
          <w:highlight w:val="none"/>
        </w:rPr>
      </w:pPr>
      <w:r>
        <w:rPr>
          <w:rFonts w:hint="eastAsia" w:ascii="宋体" w:hAnsi="宋体" w:eastAsia="宋体" w:cs="宋体"/>
          <w:color w:val="auto"/>
          <w:sz w:val="21"/>
          <w:szCs w:val="21"/>
          <w:highlight w:val="none"/>
          <w:lang w:val="en-US" w:eastAsia="zh-CN"/>
        </w:rPr>
        <w:t xml:space="preserve">        2026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31</w:t>
      </w:r>
      <w:r>
        <w:rPr>
          <w:rFonts w:hint="eastAsia" w:ascii="宋体" w:hAnsi="宋体" w:eastAsia="宋体" w:cs="宋体"/>
          <w:color w:val="auto"/>
          <w:sz w:val="21"/>
          <w:szCs w:val="21"/>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3AF9DDFB-07BC-4C84-BEAE-AEEB8CBA486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E0F651F7-6B45-4FBC-AD4E-8B96F45D7CA5}"/>
  </w:font>
  <w:font w:name="仿宋">
    <w:panose1 w:val="02010609060101010101"/>
    <w:charset w:val="86"/>
    <w:family w:val="modern"/>
    <w:pitch w:val="default"/>
    <w:sig w:usb0="800002BF" w:usb1="38CF7CFA" w:usb2="00000016" w:usb3="00000000" w:csb0="00040001" w:csb1="00000000"/>
    <w:embedRegular r:id="rId3" w:fontKey="{DA375C11-315B-4EF9-997E-0C33B32C3A76}"/>
  </w:font>
  <w:font w:name="楷体">
    <w:panose1 w:val="02010609060101010101"/>
    <w:charset w:val="86"/>
    <w:family w:val="modern"/>
    <w:pitch w:val="default"/>
    <w:sig w:usb0="800002BF" w:usb1="38CF7CFA" w:usb2="00000016" w:usb3="00000000" w:csb0="00040001" w:csb1="00000000"/>
    <w:embedRegular r:id="rId4" w:fontKey="{0CD5B224-A68A-40E1-9A32-860A7CCDD2A5}"/>
  </w:font>
  <w:font w:name="方正仿宋_GB2312">
    <w:panose1 w:val="02000000000000000000"/>
    <w:charset w:val="86"/>
    <w:family w:val="auto"/>
    <w:pitch w:val="default"/>
    <w:sig w:usb0="A00002BF" w:usb1="184F6CFA" w:usb2="00000012" w:usb3="00000000" w:csb0="00040001" w:csb1="00000000"/>
    <w:embedRegular r:id="rId5" w:fontKey="{B98F3CA5-49F0-4AEB-A67A-805A73C4783E}"/>
  </w:font>
  <w:font w:name="仿宋_GB2312">
    <w:panose1 w:val="02010609030101010101"/>
    <w:charset w:val="86"/>
    <w:family w:val="auto"/>
    <w:pitch w:val="default"/>
    <w:sig w:usb0="00000001" w:usb1="080E0000" w:usb2="00000000" w:usb3="00000000" w:csb0="00040000" w:csb1="00000000"/>
    <w:embedRegular r:id="rId6" w:fontKey="{FE56909C-0858-4978-8AF0-FDD212300383}"/>
  </w:font>
  <w:font w:name="WPSEMBED2">
    <w:panose1 w:val="02000000000000000000"/>
    <w:charset w:val="86"/>
    <w:family w:val="auto"/>
    <w:pitch w:val="default"/>
    <w:sig w:usb0="A00002BF" w:usb1="184F6CFA" w:usb2="00000012" w:usb3="00000000" w:csb0="00040001" w:csb1="00000000"/>
  </w:font>
  <w:font w:name="WPSEMBED1">
    <w:panose1 w:val="02000500000000000000"/>
    <w:charset w:val="86"/>
    <w:family w:val="auto"/>
    <w:pitch w:val="default"/>
    <w:sig w:usb0="A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YmUxYzk4NDlmYmExMWZhNTA3Zjg1Y2YyYjBhMjUifQ=="/>
  </w:docVars>
  <w:rsids>
    <w:rsidRoot w:val="00861633"/>
    <w:rsid w:val="00040470"/>
    <w:rsid w:val="00085FF3"/>
    <w:rsid w:val="000C5260"/>
    <w:rsid w:val="000E643B"/>
    <w:rsid w:val="00176B09"/>
    <w:rsid w:val="00194842"/>
    <w:rsid w:val="001E2FBC"/>
    <w:rsid w:val="00212A81"/>
    <w:rsid w:val="00217993"/>
    <w:rsid w:val="00234562"/>
    <w:rsid w:val="002F5D22"/>
    <w:rsid w:val="003A12C3"/>
    <w:rsid w:val="00401416"/>
    <w:rsid w:val="004635FA"/>
    <w:rsid w:val="00474CA9"/>
    <w:rsid w:val="004933C9"/>
    <w:rsid w:val="004B5648"/>
    <w:rsid w:val="004E4F8B"/>
    <w:rsid w:val="00566087"/>
    <w:rsid w:val="00685907"/>
    <w:rsid w:val="006A6B5D"/>
    <w:rsid w:val="00760743"/>
    <w:rsid w:val="00792BAA"/>
    <w:rsid w:val="007B3B8A"/>
    <w:rsid w:val="007B7FBE"/>
    <w:rsid w:val="007C5735"/>
    <w:rsid w:val="0082270F"/>
    <w:rsid w:val="00861633"/>
    <w:rsid w:val="008D1661"/>
    <w:rsid w:val="008F3FF3"/>
    <w:rsid w:val="009062A7"/>
    <w:rsid w:val="00A64E7D"/>
    <w:rsid w:val="00A93A4D"/>
    <w:rsid w:val="00B26F0E"/>
    <w:rsid w:val="00B85B92"/>
    <w:rsid w:val="00B9461C"/>
    <w:rsid w:val="00BE7C32"/>
    <w:rsid w:val="00BF6D4F"/>
    <w:rsid w:val="00C34074"/>
    <w:rsid w:val="00C4230B"/>
    <w:rsid w:val="00C43FB2"/>
    <w:rsid w:val="00C63742"/>
    <w:rsid w:val="00C83968"/>
    <w:rsid w:val="00C8574C"/>
    <w:rsid w:val="00CE72AE"/>
    <w:rsid w:val="00CF3752"/>
    <w:rsid w:val="00D639A7"/>
    <w:rsid w:val="00D65BF1"/>
    <w:rsid w:val="00D803EA"/>
    <w:rsid w:val="00D9136F"/>
    <w:rsid w:val="00D968EA"/>
    <w:rsid w:val="00DF4882"/>
    <w:rsid w:val="00E14CF5"/>
    <w:rsid w:val="00E376F5"/>
    <w:rsid w:val="00E63A60"/>
    <w:rsid w:val="00E85CE3"/>
    <w:rsid w:val="00F31999"/>
    <w:rsid w:val="00FE287F"/>
    <w:rsid w:val="01521C8D"/>
    <w:rsid w:val="01787946"/>
    <w:rsid w:val="018A58CB"/>
    <w:rsid w:val="021A31B2"/>
    <w:rsid w:val="02A76009"/>
    <w:rsid w:val="03035935"/>
    <w:rsid w:val="03A04F32"/>
    <w:rsid w:val="03F43EBC"/>
    <w:rsid w:val="04243DB5"/>
    <w:rsid w:val="043F186F"/>
    <w:rsid w:val="047563BF"/>
    <w:rsid w:val="04B05230"/>
    <w:rsid w:val="04CC1D57"/>
    <w:rsid w:val="05353DA0"/>
    <w:rsid w:val="0535626C"/>
    <w:rsid w:val="05C56ED2"/>
    <w:rsid w:val="05F175C0"/>
    <w:rsid w:val="063A78C0"/>
    <w:rsid w:val="06691F53"/>
    <w:rsid w:val="068B6E4F"/>
    <w:rsid w:val="0701218C"/>
    <w:rsid w:val="074B3407"/>
    <w:rsid w:val="07BA6793"/>
    <w:rsid w:val="07DD0F50"/>
    <w:rsid w:val="07FC6A20"/>
    <w:rsid w:val="081B727D"/>
    <w:rsid w:val="08381FC4"/>
    <w:rsid w:val="08A47096"/>
    <w:rsid w:val="08BE476D"/>
    <w:rsid w:val="08C93424"/>
    <w:rsid w:val="095E0943"/>
    <w:rsid w:val="096B31AE"/>
    <w:rsid w:val="09F50896"/>
    <w:rsid w:val="09FD2976"/>
    <w:rsid w:val="0A943317"/>
    <w:rsid w:val="0AF36F33"/>
    <w:rsid w:val="0B955093"/>
    <w:rsid w:val="0BDC6D23"/>
    <w:rsid w:val="0C692CAD"/>
    <w:rsid w:val="0D5D1991"/>
    <w:rsid w:val="0DC14CEB"/>
    <w:rsid w:val="0DF5231E"/>
    <w:rsid w:val="0F054688"/>
    <w:rsid w:val="0F0A1DF9"/>
    <w:rsid w:val="0F7C2CF7"/>
    <w:rsid w:val="0F8D0CA3"/>
    <w:rsid w:val="0FBD0C1A"/>
    <w:rsid w:val="0FFC7994"/>
    <w:rsid w:val="10066A65"/>
    <w:rsid w:val="11CB5870"/>
    <w:rsid w:val="11F50B3F"/>
    <w:rsid w:val="120D45C3"/>
    <w:rsid w:val="128B14A3"/>
    <w:rsid w:val="132E255A"/>
    <w:rsid w:val="138008DC"/>
    <w:rsid w:val="139525D9"/>
    <w:rsid w:val="144E2788"/>
    <w:rsid w:val="15086DDB"/>
    <w:rsid w:val="15CC605B"/>
    <w:rsid w:val="16930926"/>
    <w:rsid w:val="16DA097F"/>
    <w:rsid w:val="172F1F7D"/>
    <w:rsid w:val="19A66EB1"/>
    <w:rsid w:val="19B77EAA"/>
    <w:rsid w:val="1B3E4ADC"/>
    <w:rsid w:val="1B5247CC"/>
    <w:rsid w:val="1B6A434C"/>
    <w:rsid w:val="1BBE1FA1"/>
    <w:rsid w:val="1C530880"/>
    <w:rsid w:val="1CE6214B"/>
    <w:rsid w:val="1CF87735"/>
    <w:rsid w:val="1D3BA856"/>
    <w:rsid w:val="1D4F7269"/>
    <w:rsid w:val="1D807E56"/>
    <w:rsid w:val="1D84721B"/>
    <w:rsid w:val="1DC046F7"/>
    <w:rsid w:val="1E0D0FBE"/>
    <w:rsid w:val="1E2375A6"/>
    <w:rsid w:val="1E6C03DB"/>
    <w:rsid w:val="1E6E4153"/>
    <w:rsid w:val="1F356A1F"/>
    <w:rsid w:val="1F996FAD"/>
    <w:rsid w:val="1FFB37C4"/>
    <w:rsid w:val="204C2FA3"/>
    <w:rsid w:val="20713A86"/>
    <w:rsid w:val="20967991"/>
    <w:rsid w:val="20CC5161"/>
    <w:rsid w:val="21222CFF"/>
    <w:rsid w:val="217F43CB"/>
    <w:rsid w:val="22BF31CF"/>
    <w:rsid w:val="23474F72"/>
    <w:rsid w:val="2498368E"/>
    <w:rsid w:val="24EF141E"/>
    <w:rsid w:val="254C6870"/>
    <w:rsid w:val="26072B5E"/>
    <w:rsid w:val="26435A91"/>
    <w:rsid w:val="27E72880"/>
    <w:rsid w:val="27F06E83"/>
    <w:rsid w:val="28211EDA"/>
    <w:rsid w:val="288641D4"/>
    <w:rsid w:val="298F0778"/>
    <w:rsid w:val="2A183AD0"/>
    <w:rsid w:val="2AE80DE9"/>
    <w:rsid w:val="2AEC6B2B"/>
    <w:rsid w:val="2AFA0B1C"/>
    <w:rsid w:val="2B8A6344"/>
    <w:rsid w:val="2C245E51"/>
    <w:rsid w:val="2C792640"/>
    <w:rsid w:val="2CA13752"/>
    <w:rsid w:val="2D5C670C"/>
    <w:rsid w:val="2EBD3520"/>
    <w:rsid w:val="2F2D5200"/>
    <w:rsid w:val="2F4D5BC1"/>
    <w:rsid w:val="2FB53D95"/>
    <w:rsid w:val="2FB971F8"/>
    <w:rsid w:val="2FD302BA"/>
    <w:rsid w:val="2FFC4027"/>
    <w:rsid w:val="301937F3"/>
    <w:rsid w:val="308E2433"/>
    <w:rsid w:val="318E3C80"/>
    <w:rsid w:val="3347727A"/>
    <w:rsid w:val="343223CE"/>
    <w:rsid w:val="344D7F0F"/>
    <w:rsid w:val="34B50542"/>
    <w:rsid w:val="35283D1D"/>
    <w:rsid w:val="356E3CFA"/>
    <w:rsid w:val="359A3628"/>
    <w:rsid w:val="35A65F83"/>
    <w:rsid w:val="362F1FC2"/>
    <w:rsid w:val="36704B62"/>
    <w:rsid w:val="367F4CF7"/>
    <w:rsid w:val="36C40738"/>
    <w:rsid w:val="36C941C4"/>
    <w:rsid w:val="36CC5A63"/>
    <w:rsid w:val="36F62AE0"/>
    <w:rsid w:val="370734B9"/>
    <w:rsid w:val="376D3F36"/>
    <w:rsid w:val="37895702"/>
    <w:rsid w:val="38417D8A"/>
    <w:rsid w:val="3929719C"/>
    <w:rsid w:val="39DF785B"/>
    <w:rsid w:val="3A6824A7"/>
    <w:rsid w:val="3AE0388B"/>
    <w:rsid w:val="3B0E464E"/>
    <w:rsid w:val="3B491430"/>
    <w:rsid w:val="3B87124F"/>
    <w:rsid w:val="3C177780"/>
    <w:rsid w:val="3C8F5568"/>
    <w:rsid w:val="3CF66E12"/>
    <w:rsid w:val="3D0B0DB2"/>
    <w:rsid w:val="3D3A3646"/>
    <w:rsid w:val="3E9E7CE5"/>
    <w:rsid w:val="3F2830F9"/>
    <w:rsid w:val="401727EA"/>
    <w:rsid w:val="40477F08"/>
    <w:rsid w:val="408A44A5"/>
    <w:rsid w:val="408D64A6"/>
    <w:rsid w:val="40BF2194"/>
    <w:rsid w:val="40E02836"/>
    <w:rsid w:val="41466412"/>
    <w:rsid w:val="41894C7C"/>
    <w:rsid w:val="41E55C2A"/>
    <w:rsid w:val="4235270E"/>
    <w:rsid w:val="42927B60"/>
    <w:rsid w:val="42D53494"/>
    <w:rsid w:val="42D907DD"/>
    <w:rsid w:val="437547A0"/>
    <w:rsid w:val="44E623E5"/>
    <w:rsid w:val="453018B3"/>
    <w:rsid w:val="45977244"/>
    <w:rsid w:val="45D109A0"/>
    <w:rsid w:val="46AF05B5"/>
    <w:rsid w:val="46EA44FB"/>
    <w:rsid w:val="47A11E02"/>
    <w:rsid w:val="47F22E4F"/>
    <w:rsid w:val="48A26623"/>
    <w:rsid w:val="48DB1B35"/>
    <w:rsid w:val="492003B2"/>
    <w:rsid w:val="492A6945"/>
    <w:rsid w:val="49A2684C"/>
    <w:rsid w:val="4A0F7CE8"/>
    <w:rsid w:val="4A4C4A99"/>
    <w:rsid w:val="4A8E06E2"/>
    <w:rsid w:val="4AD22CB5"/>
    <w:rsid w:val="4AF64A04"/>
    <w:rsid w:val="4B223A4B"/>
    <w:rsid w:val="4B590CFA"/>
    <w:rsid w:val="4B645E12"/>
    <w:rsid w:val="4BA34B8C"/>
    <w:rsid w:val="4BD046E5"/>
    <w:rsid w:val="4C371778"/>
    <w:rsid w:val="4C5E6D05"/>
    <w:rsid w:val="4C6809D6"/>
    <w:rsid w:val="4CF17B79"/>
    <w:rsid w:val="4D135D42"/>
    <w:rsid w:val="4D1A6B8D"/>
    <w:rsid w:val="4D49076B"/>
    <w:rsid w:val="4D574157"/>
    <w:rsid w:val="4E992F9E"/>
    <w:rsid w:val="4EC414B0"/>
    <w:rsid w:val="4EC65583"/>
    <w:rsid w:val="4EE334F2"/>
    <w:rsid w:val="4F5364F2"/>
    <w:rsid w:val="4F624D5E"/>
    <w:rsid w:val="4FA0507F"/>
    <w:rsid w:val="4FAA69E2"/>
    <w:rsid w:val="4FC21359"/>
    <w:rsid w:val="4FD07F1A"/>
    <w:rsid w:val="50B91E13"/>
    <w:rsid w:val="50D50081"/>
    <w:rsid w:val="51842D6A"/>
    <w:rsid w:val="518A2B8B"/>
    <w:rsid w:val="51C573A5"/>
    <w:rsid w:val="529F6E3D"/>
    <w:rsid w:val="52F201A7"/>
    <w:rsid w:val="533A3970"/>
    <w:rsid w:val="535E5ADC"/>
    <w:rsid w:val="53A17EE1"/>
    <w:rsid w:val="53B5533C"/>
    <w:rsid w:val="548715A4"/>
    <w:rsid w:val="5531145B"/>
    <w:rsid w:val="558570B1"/>
    <w:rsid w:val="55F21C3E"/>
    <w:rsid w:val="5661367A"/>
    <w:rsid w:val="567809C3"/>
    <w:rsid w:val="56B714EC"/>
    <w:rsid w:val="57062473"/>
    <w:rsid w:val="57F02F53"/>
    <w:rsid w:val="57F549C2"/>
    <w:rsid w:val="57F56770"/>
    <w:rsid w:val="580F226F"/>
    <w:rsid w:val="585F62DF"/>
    <w:rsid w:val="58AE4B70"/>
    <w:rsid w:val="59396B30"/>
    <w:rsid w:val="59527BF2"/>
    <w:rsid w:val="596F4314"/>
    <w:rsid w:val="59FE5F55"/>
    <w:rsid w:val="5A625C12"/>
    <w:rsid w:val="5AA75D1B"/>
    <w:rsid w:val="5B4D704A"/>
    <w:rsid w:val="5B5714EF"/>
    <w:rsid w:val="5C675762"/>
    <w:rsid w:val="5C846562"/>
    <w:rsid w:val="5D9A3915"/>
    <w:rsid w:val="5DE0757A"/>
    <w:rsid w:val="5E2356B9"/>
    <w:rsid w:val="5EDD531C"/>
    <w:rsid w:val="5EEE5CC7"/>
    <w:rsid w:val="5F9E1A6E"/>
    <w:rsid w:val="6140265D"/>
    <w:rsid w:val="616531FD"/>
    <w:rsid w:val="6215372E"/>
    <w:rsid w:val="624175C8"/>
    <w:rsid w:val="625878BF"/>
    <w:rsid w:val="628C1A54"/>
    <w:rsid w:val="62CA6A4B"/>
    <w:rsid w:val="63053888"/>
    <w:rsid w:val="63AC7EFE"/>
    <w:rsid w:val="63D80CF3"/>
    <w:rsid w:val="64531E24"/>
    <w:rsid w:val="654E74BF"/>
    <w:rsid w:val="65E240AB"/>
    <w:rsid w:val="66417024"/>
    <w:rsid w:val="670C13E0"/>
    <w:rsid w:val="67E94E3A"/>
    <w:rsid w:val="6847493B"/>
    <w:rsid w:val="68892B68"/>
    <w:rsid w:val="68C9298C"/>
    <w:rsid w:val="691962F1"/>
    <w:rsid w:val="6A681023"/>
    <w:rsid w:val="6A9C2A7B"/>
    <w:rsid w:val="6B533A81"/>
    <w:rsid w:val="6B9B48D9"/>
    <w:rsid w:val="6C407719"/>
    <w:rsid w:val="6C6A731D"/>
    <w:rsid w:val="6C7D68DC"/>
    <w:rsid w:val="6C951E77"/>
    <w:rsid w:val="6CBF5146"/>
    <w:rsid w:val="6D995997"/>
    <w:rsid w:val="6E0B30F2"/>
    <w:rsid w:val="6E597A7A"/>
    <w:rsid w:val="6F192B64"/>
    <w:rsid w:val="6F2E0F7E"/>
    <w:rsid w:val="6F437969"/>
    <w:rsid w:val="6F830629"/>
    <w:rsid w:val="6F92269E"/>
    <w:rsid w:val="6FBB1BF5"/>
    <w:rsid w:val="6FD74555"/>
    <w:rsid w:val="6FF2524F"/>
    <w:rsid w:val="704742C4"/>
    <w:rsid w:val="70903082"/>
    <w:rsid w:val="70A46F33"/>
    <w:rsid w:val="70CE7706"/>
    <w:rsid w:val="734D525A"/>
    <w:rsid w:val="735A34D3"/>
    <w:rsid w:val="735E213E"/>
    <w:rsid w:val="73EE31E0"/>
    <w:rsid w:val="73F27BAF"/>
    <w:rsid w:val="749F6B02"/>
    <w:rsid w:val="753C3DE8"/>
    <w:rsid w:val="75616D9B"/>
    <w:rsid w:val="75734D20"/>
    <w:rsid w:val="75ED76DA"/>
    <w:rsid w:val="76277FE4"/>
    <w:rsid w:val="767E45F5"/>
    <w:rsid w:val="769C3384"/>
    <w:rsid w:val="76B95BCF"/>
    <w:rsid w:val="777C7EBC"/>
    <w:rsid w:val="77860D3A"/>
    <w:rsid w:val="77C47AB5"/>
    <w:rsid w:val="77D824E2"/>
    <w:rsid w:val="782B485E"/>
    <w:rsid w:val="78D45AD6"/>
    <w:rsid w:val="794B39F7"/>
    <w:rsid w:val="79B24069"/>
    <w:rsid w:val="7A00786E"/>
    <w:rsid w:val="7A0128FA"/>
    <w:rsid w:val="7A481FC6"/>
    <w:rsid w:val="7AEE0D27"/>
    <w:rsid w:val="7AF536F6"/>
    <w:rsid w:val="7B000E04"/>
    <w:rsid w:val="7B0E51CF"/>
    <w:rsid w:val="7B1719C2"/>
    <w:rsid w:val="7BAD073E"/>
    <w:rsid w:val="7BBD6CF5"/>
    <w:rsid w:val="7BCD7AEA"/>
    <w:rsid w:val="7BE349AD"/>
    <w:rsid w:val="7C120DEF"/>
    <w:rsid w:val="7C246AA5"/>
    <w:rsid w:val="7C7079EA"/>
    <w:rsid w:val="7C9407B1"/>
    <w:rsid w:val="7D5A0C9F"/>
    <w:rsid w:val="7E68119A"/>
    <w:rsid w:val="7E8B30DA"/>
    <w:rsid w:val="7EA74A6F"/>
    <w:rsid w:val="CFFE3256"/>
    <w:rsid w:val="FF57D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next w:val="1"/>
    <w:qFormat/>
    <w:uiPriority w:val="0"/>
    <w:pPr>
      <w:spacing w:line="360" w:lineRule="auto"/>
      <w:ind w:firstLine="570"/>
    </w:pPr>
    <w:rPr>
      <w:sz w:val="24"/>
    </w:rPr>
  </w:style>
  <w:style w:type="paragraph" w:styleId="4">
    <w:name w:val="Balloon Text"/>
    <w:basedOn w:val="1"/>
    <w:link w:val="16"/>
    <w:qFormat/>
    <w:uiPriority w:val="0"/>
    <w:rPr>
      <w:sz w:val="18"/>
      <w:szCs w:val="18"/>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annotation reference"/>
    <w:basedOn w:val="9"/>
    <w:qFormat/>
    <w:uiPriority w:val="0"/>
    <w:rPr>
      <w:sz w:val="21"/>
      <w:szCs w:val="21"/>
    </w:rPr>
  </w:style>
  <w:style w:type="paragraph" w:customStyle="1" w:styleId="11">
    <w:name w:val="Table Text"/>
    <w:basedOn w:val="1"/>
    <w:qFormat/>
    <w:uiPriority w:val="0"/>
    <w:rPr>
      <w:rFonts w:ascii="宋体" w:hAnsi="宋体" w:eastAsia="宋体" w:cs="宋体"/>
      <w:sz w:val="24"/>
    </w:rPr>
  </w:style>
  <w:style w:type="table" w:customStyle="1" w:styleId="12">
    <w:name w:val="Table Normal"/>
    <w:qFormat/>
    <w:uiPriority w:val="0"/>
    <w:tblPr>
      <w:tblCellMar>
        <w:top w:w="0" w:type="dxa"/>
        <w:left w:w="0" w:type="dxa"/>
        <w:bottom w:w="0" w:type="dxa"/>
        <w:right w:w="0" w:type="dxa"/>
      </w:tblCellMar>
    </w:tblPr>
  </w:style>
  <w:style w:type="paragraph" w:styleId="13">
    <w:name w:val="List Paragraph"/>
    <w:basedOn w:val="1"/>
    <w:qFormat/>
    <w:uiPriority w:val="34"/>
    <w:pPr>
      <w:ind w:firstLine="420" w:firstLineChars="200"/>
    </w:pPr>
    <w:rPr>
      <w:rFonts w:ascii="Calibri" w:hAnsi="Calibri"/>
      <w:szCs w:val="22"/>
    </w:rPr>
  </w:style>
  <w:style w:type="character" w:customStyle="1" w:styleId="14">
    <w:name w:val="页眉 字符"/>
    <w:basedOn w:val="9"/>
    <w:link w:val="6"/>
    <w:qFormat/>
    <w:uiPriority w:val="0"/>
    <w:rPr>
      <w:rFonts w:asciiTheme="minorHAnsi" w:hAnsiTheme="minorHAnsi" w:eastAsiaTheme="minorEastAsia" w:cstheme="minorBidi"/>
      <w:kern w:val="2"/>
      <w:sz w:val="18"/>
      <w:szCs w:val="18"/>
    </w:rPr>
  </w:style>
  <w:style w:type="character" w:customStyle="1" w:styleId="15">
    <w:name w:val="页脚 字符"/>
    <w:basedOn w:val="9"/>
    <w:link w:val="5"/>
    <w:qFormat/>
    <w:uiPriority w:val="0"/>
    <w:rPr>
      <w:rFonts w:asciiTheme="minorHAnsi" w:hAnsiTheme="minorHAnsi" w:eastAsiaTheme="minorEastAsia" w:cstheme="minorBidi"/>
      <w:kern w:val="2"/>
      <w:sz w:val="18"/>
      <w:szCs w:val="18"/>
    </w:rPr>
  </w:style>
  <w:style w:type="character" w:customStyle="1" w:styleId="16">
    <w:name w:val="批注框文本 字符"/>
    <w:basedOn w:val="9"/>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c600ff37-975e-4f66-a850-ea4e5b467f48</errorID>
      <errorWord xmlns="http://schemas.wps.cn/vas-ai-hub/contract-review">的</errorWord>
      <group xmlns="http://schemas.wps.cn/vas-ai-hub/contract-review">L1_Word</group>
      <groupName xmlns="http://schemas.wps.cn/vas-ai-hub/contract-review">字词问题</groupName>
      <ability xmlns="http://schemas.wps.cn/vas-ai-hub/contract-review">L2_DDD</ability>
      <abilityName xmlns="http://schemas.wps.cn/vas-ai-hub/contract-review">的地得用法</abilityName>
      <candidateList xmlns="http://schemas.wps.cn/vas-ai-hub/contract-review">
        <item xmlns="http://schemas.wps.cn/vas-ai-hub/contract-review">地</item>
      </candidateList>
      <explain xmlns="http://schemas.wps.cn/vas-ai-hub/contract-review"/>
      <paraID xmlns="http://schemas.wps.cn/vas-ai-hub/contract-review">131913B1</paraID>
      <start xmlns="http://schemas.wps.cn/vas-ai-hub/contract-review">72</start>
      <end xmlns="http://schemas.wps.cn/vas-ai-hub/contract-review">73</end>
      <status xmlns="http://schemas.wps.cn/vas-ai-hub/contract-review">modified</status>
      <modifiedWord xmlns="http://schemas.wps.cn/vas-ai-hub/contract-review">地</modifiedWord>
      <trackRevisions xmlns="http://schemas.wps.cn/vas-ai-hub/contract-review">false</trackRevisions>
    </reviewItem>
    <reviewItem xmlns="http://schemas.wps.cn/vas-ai-hub/contract-review">
      <errorID xmlns="http://schemas.wps.cn/vas-ai-hub/contract-review">8e9878e6-0a3e-4763-a33c-b5958e7dcda2</errorID>
      <errorWord xmlns="http://schemas.wps.cn/vas-ai-hub/contract-review">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超过</item>
      </candidateList>
      <explain xmlns="http://schemas.wps.cn/vas-ai-hub/contract-review"/>
      <paraID xmlns="http://schemas.wps.cn/vas-ai-hub/contract-review"> 85ABB3E</paraID>
      <start xmlns="http://schemas.wps.cn/vas-ai-hub/contract-review">143</start>
      <end xmlns="http://schemas.wps.cn/vas-ai-hub/contract-review">145</end>
      <status xmlns="http://schemas.wps.cn/vas-ai-hub/contract-review">modified</status>
      <modifiedWord xmlns="http://schemas.wps.cn/vas-ai-hub/contract-review">超过</modifiedWord>
      <trackRevisions xmlns="http://schemas.wps.cn/vas-ai-hub/contract-review">false</trackRevisions>
    </reviewItem>
    <reviewItem xmlns="http://schemas.wps.cn/vas-ai-hub/contract-review">
      <errorID xmlns="http://schemas.wps.cn/vas-ai-hub/contract-review">36e12353-b18e-4738-aca6-f6afc85988f6</errorID>
      <errorWord xmlns="http://schemas.wps.cn/vas-ai-hub/contract-review">薛祥</errorWord>
      <group xmlns="http://schemas.wps.cn/vas-ai-hub/contract-review">L1_Political</group>
      <groupName xmlns="http://schemas.wps.cn/vas-ai-hub/contract-review">政治性问题</groupName>
      <ability xmlns="http://schemas.wps.cn/vas-ai-hub/contract-review">L2_Leader</ability>
      <abilityName xmlns="http://schemas.wps.cn/vas-ai-hub/contract-review">领导人姓名/职务</abilityName>
      <candidateList xmlns="http://schemas.wps.cn/vas-ai-hub/contract-review">
        <item xmlns="http://schemas.wps.cn/vas-ai-hub/contract-review">丁薛祥</item>
      </candidateList>
      <explain xmlns="http://schemas.wps.cn/vas-ai-hub/contract-review">领导人&lt;薛祥&gt;疑似有误，建议修改为&lt;丁薛祥&gt;。&lt;丁薛祥&gt;的主要职务包括：中央政治局常委、中共中央政治局常委、中共二十届中央政治局委员、中国共产党中央委员会政治局常务委员会委员、国务院副总理、副总理、国务院党组副书记、中央科技委员会主任。</explain>
      <paraID xmlns="http://schemas.wps.cn/vas-ai-hub/contract-review">5810526C</paraID>
      <start xmlns="http://schemas.wps.cn/vas-ai-hub/contract-review">9</start>
      <end xmlns="http://schemas.wps.cn/vas-ai-hub/contract-review">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7386e94c-53d9-407d-bb06-70f868481269</errorID>
      <errorWord xmlns="http://schemas.wps.cn/vas-ai-hub/contract-review">薛祥</errorWord>
      <group xmlns="http://schemas.wps.cn/vas-ai-hub/contract-review">L1_Political</group>
      <groupName xmlns="http://schemas.wps.cn/vas-ai-hub/contract-review">政治性问题</groupName>
      <ability xmlns="http://schemas.wps.cn/vas-ai-hub/contract-review">L2_Leader</ability>
      <abilityName xmlns="http://schemas.wps.cn/vas-ai-hub/contract-review">领导人姓名/职务</abilityName>
      <candidateList xmlns="http://schemas.wps.cn/vas-ai-hub/contract-review">
        <item xmlns="http://schemas.wps.cn/vas-ai-hub/contract-review">丁薛祥</item>
      </candidateList>
      <explain xmlns="http://schemas.wps.cn/vas-ai-hub/contract-review">领导人&lt;薛祥&gt;疑似有误，建议修改为&lt;丁薛祥&gt;。&lt;丁薛祥&gt;的主要职务包括：中央政治局常委、中共中央政治局常委、中共二十届中央政治局委员、中国共产党中央委员会政治局常务委员会委员、国务院副总理、副总理、国务院党组副书记、中央科技委员会主任。</explain>
      <paraID xmlns="http://schemas.wps.cn/vas-ai-hub/contract-review">716F9C64</paraID>
      <start xmlns="http://schemas.wps.cn/vas-ai-hub/contract-review">7</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2a8ef5a3-5d92-4214-ac2c-925d1cb1ca9c</errorID>
      <errorWord xmlns="http://schemas.wps.cn/vas-ai-hub/contract-review">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item>
      </candidateList>
      <explain xmlns="http://schemas.wps.cn/vas-ai-hub/contract-review">存在发音相同字词的误用。</explain>
      <paraID xmlns="http://schemas.wps.cn/vas-ai-hub/contract-review">1489839F</paraID>
      <start xmlns="http://schemas.wps.cn/vas-ai-hub/contract-review">99</start>
      <end xmlns="http://schemas.wps.cn/vas-ai-hub/contract-review">100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5bf48de9-9ce6-4308-9309-33b082f5458c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309FFC84</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6cc84668-586e-44ff-bad6-957ee7964343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99BDFF2</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44c4195a-ceaf-406a-93b9-2b9d574c99cf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5429D19A</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9efcc3bc-69dd-4139-979c-9b96a9285593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5429D19A</paraID>
      <start xmlns="http://schemas.wps.cn/vas-ai-hub/contract-review">18</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5d225bab-a5d2-4067-a074-f7070367cdad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E1EB02F</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ddc0c88b-015f-4b41-84a5-215c21f86b65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7DB4FD74</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e8a6024a-3e1d-4c7b-86e2-bb655307367b</errorID>
      <errorWord xmlns="http://schemas.wps.cn/vas-ai-hub/contract-review">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须</item>
      </candidateList>
      <explain xmlns="http://schemas.wps.cn/vas-ai-hub/contract-review">存在发音相同字词的误用。</explain>
      <paraID xmlns="http://schemas.wps.cn/vas-ai-hub/contract-review"> B289AAC</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39edbfd6-0ab1-47d4-ac6f-e8ef8de38606</errorID>
      <errorWord xmlns="http://schemas.wps.cn/vas-ai-hub/contract-review">领城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领域</item>
      </candidateList>
      <explain xmlns="http://schemas.wps.cn/vas-ai-hub/contract-review"/>
      <paraID xmlns="http://schemas.wps.cn/vas-ai-hub/contract-review"> B289AAC</paraID>
      <start xmlns="http://schemas.wps.cn/vas-ai-hub/contract-review">55</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bfd6688d-41f4-4c1c-9ec2-d4409153f060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 57B5000</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e9cd35ee-d418-4c29-a0a2-a7bbbcf32b81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 57B5000</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7c3c2956-0b85-4d7a-a949-41b145094c7f</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36694592</paraID>
      <start xmlns="http://schemas.wps.cn/vas-ai-hub/contract-review">111</start>
      <end xmlns="http://schemas.wps.cn/vas-ai-hub/contract-review">112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8c3234e6-4898-45fc-a9c7-7bb0e6edd2b9</errorID>
      <errorWord xmlns="http://schemas.wps.cn/vas-ai-hub/contract-review">终生</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终身</item>
      </candidateList>
      <explain xmlns="http://schemas.wps.cn/vas-ai-hub/contract-review">存在发音相近字词的误用。</explain>
      <paraID xmlns="http://schemas.wps.cn/vas-ai-hub/contract-review">7B60115C</paraID>
      <start xmlns="http://schemas.wps.cn/vas-ai-hub/contract-review">67</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ddfaba0b-f967-4701-ab41-9896c76da541</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31BC36FD</paraID>
      <start xmlns="http://schemas.wps.cn/vas-ai-hub/contract-review">155</start>
      <end xmlns="http://schemas.wps.cn/vas-ai-hub/contract-review">157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39aea9f9-5051-4ab5-aa20-222ca38473e1</errorID>
      <errorWord xmlns="http://schemas.wps.cn/vas-ai-hub/contract-review">将将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将</item>
      </candidateList>
      <explain xmlns="http://schemas.wps.cn/vas-ai-hub/contract-review"/>
      <paraID xmlns="http://schemas.wps.cn/vas-ai-hub/contract-review">429386C0</paraID>
      <start xmlns="http://schemas.wps.cn/vas-ai-hub/contract-review">46</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99d9e3df-0535-4012-97d9-13d20191ceab</errorID>
      <errorWord xmlns="http://schemas.wps.cn/vas-ai-hub/contract-review">其的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其</item>
      </candidateList>
      <explain xmlns="http://schemas.wps.cn/vas-ai-hub/contract-review"/>
      <paraID xmlns="http://schemas.wps.cn/vas-ai-hub/contract-review">429386C0</paraID>
      <start xmlns="http://schemas.wps.cn/vas-ai-hub/contract-review">76</start>
      <end xmlns="http://schemas.wps.cn/vas-ai-hub/contract-review">78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4bcee151-d11b-453a-8ea1-730349248f00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4AF7EE40</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52c5cb74-6da4-4ff5-8f02-10dc55048a4c</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
      <paraID xmlns="http://schemas.wps.cn/vas-ai-hub/contract-review">4AF7EE40</paraID>
      <start xmlns="http://schemas.wps.cn/vas-ai-hub/contract-review">34</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d8dcb266-c969-4ad1-ad43-942e65217602</errorID>
      <errorWord xmlns="http://schemas.wps.cn/vas-ai-hub/contract-review">成份</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成分</item>
      </candidateList>
      <explain xmlns="http://schemas.wps.cn/vas-ai-hub/contract-review"/>
      <paraID xmlns="http://schemas.wps.cn/vas-ai-hub/contract-review">4AF7EE40</paraID>
      <start xmlns="http://schemas.wps.cn/vas-ai-hub/contract-review">106</start>
      <end xmlns="http://schemas.wps.cn/vas-ai-hub/contract-review">108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dfc002fb-9036-4c5d-ac69-35d0dd520f57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4AF7EE40</paraID>
      <start xmlns="http://schemas.wps.cn/vas-ai-hub/contract-review">119</start>
      <end xmlns="http://schemas.wps.cn/vas-ai-hub/contract-review">120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7a4dca26-f7f5-4ff3-8dee-7895f214754c</errorID>
      <errorWord xmlns="http://schemas.wps.cn/vas-ai-hub/contract-review">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费用</item>
      </candidateList>
      <explain xmlns="http://schemas.wps.cn/vas-ai-hub/contract-review"/>
      <paraID xmlns="http://schemas.wps.cn/vas-ai-hub/contract-review">4AF7EE40</paraID>
      <start xmlns="http://schemas.wps.cn/vas-ai-hub/contract-review">176</start>
      <end xmlns="http://schemas.wps.cn/vas-ai-hub/contract-review">177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72e985ac-e7cc-44e4-85f3-32c1d3c162cc</errorID>
      <errorWord xmlns="http://schemas.wps.cn/vas-ai-hub/contract-review">日日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item>
      </candidateList>
      <explain xmlns="http://schemas.wps.cn/vas-ai-hub/contract-review"/>
      <paraID xmlns="http://schemas.wps.cn/vas-ai-hub/contract-review">78ABEEA9</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6ef265b9-1dca-43cf-bc85-65efebdd077c</errorID>
      <errorWord xmlns="http://schemas.wps.cn/vas-ai-hub/contract-review">甲醛含量、PH值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甲醛含量、pH值</item>
      </candidateList>
      <explain xmlns="http://schemas.wps.cn/vas-ai-hub/contract-review"/>
      <paraID xmlns="http://schemas.wps.cn/vas-ai-hub/contract-review">45EFBE6F</paraID>
      <start xmlns="http://schemas.wps.cn/vas-ai-hub/contract-review">34</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63763d08-6e73-4776-8c15-c2d2e5529448</errorID>
      <errorWord xmlns="http://schemas.wps.cn/vas-ai-hub/contract-review">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方以</item>
      </candidateList>
      <explain xmlns="http://schemas.wps.cn/vas-ai-hub/contract-review"/>
      <paraID xmlns="http://schemas.wps.cn/vas-ai-hub/contract-review">697FCAE4</paraID>
      <start xmlns="http://schemas.wps.cn/vas-ai-hub/contract-review">87</start>
      <end xmlns="http://schemas.wps.cn/vas-ai-hub/contract-review">88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2a8faf8c-e1d7-4ae7-a947-5f23dd3af968</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该表达中的“提出质疑”存在语义重复。【词汇解析】质疑：提出疑问。与“提出”语义重复。</explain>
      <paraID xmlns="http://schemas.wps.cn/vas-ai-hub/contract-review">29C4327B</paraID>
      <start xmlns="http://schemas.wps.cn/vas-ai-hub/contract-review">26</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7868ccc6-3c0c-494f-bbb5-e3a29e52566f</errorID>
      <errorWord xmlns="http://schemas.wps.cn/vas-ai-hub/contract-review">即时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及时</item>
      </candidateList>
      <explain xmlns="http://schemas.wps.cn/vas-ai-hub/contract-review"/>
      <paraID xmlns="http://schemas.wps.cn/vas-ai-hub/contract-review">579D6E8F</paraID>
      <start xmlns="http://schemas.wps.cn/vas-ai-hub/contract-review">59</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08c82c49-aa5c-49cb-a546-5e8c96c08c26</errorID>
      <errorWord xmlns="http://schemas.wps.cn/vas-ai-hub/contract-review">买购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购买</item>
      </candidateList>
      <explain xmlns="http://schemas.wps.cn/vas-ai-hub/contract-review"/>
      <paraID xmlns="http://schemas.wps.cn/vas-ai-hub/contract-review"> 62A1A43</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3b7a3f1d-74b5-4139-a102-c183c1da465a</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11D1AC7A</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4cdc5528-eeb3-4111-b26a-98db9b7c935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6407</Words>
  <Characters>6784</Characters>
  <Lines>46</Lines>
  <Paragraphs>12</Paragraphs>
  <TotalTime>16</TotalTime>
  <ScaleCrop>false</ScaleCrop>
  <LinksUpToDate>false</LinksUpToDate>
  <CharactersWithSpaces>6833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2025-12-30T09:52:00Z</dcterms:created>
  <dc:creator>Administrator</dc:creator>
  <cp:lastModifiedBy>李乂</cp:lastModifiedBy>
  <cp:lastPrinted>2026-08-07T00:26:00Z</cp:lastPrinted>
  <dcterms:modified xsi:type="dcterms:W3CDTF">2026-08-11T04:46:28Z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eyJoZGlkIjoiZWY1YTk5NzRkNjhjZGE1ZWI1NDVmNzkxNjk4ZTJiYWQiLCJ1c2VySWQiOiI5NDE1MTM3NzAifQ==</vt:lpwstr>
  </property>
  <property fmtid="{D5CDD505-2E9C-101B-9397-08002B2CF9AE}" pid="4" name="ICV">
    <vt:lpwstr>B2328B153FA840948AD85DF488082211_13</vt:lpwstr>
  </property>
</Properties>
</file>